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385C4">
      <w:pPr>
        <w:pStyle w:val="27"/>
        <w:framePr w:wrap="around"/>
        <w:spacing w:line="360" w:lineRule="auto"/>
        <w:ind w:firstLine="0" w:firstLineChars="0"/>
        <w:rPr>
          <w:rFonts w:hint="eastAsia" w:ascii="黑体" w:hAnsi="黑体" w:eastAsia="黑体" w:cs="黑体"/>
          <w:color w:val="auto"/>
          <w:highlight w:val="none"/>
          <w:lang w:val="en-US" w:eastAsia="zh-CN"/>
        </w:rPr>
      </w:pPr>
      <w:bookmarkStart w:id="133" w:name="_GoBack"/>
      <w:bookmarkEnd w:id="133"/>
      <w:r>
        <w:rPr>
          <w:rFonts w:hint="eastAsia" w:hAnsi="黑体" w:cs="黑体"/>
          <w:color w:val="auto"/>
          <w:highlight w:val="none"/>
          <w:lang w:val="en-US" w:eastAsia="zh-CN"/>
        </w:rPr>
        <w:t>I</w:t>
      </w:r>
      <w:r>
        <w:rPr>
          <w:rFonts w:hint="eastAsia" w:ascii="黑体" w:hAnsi="黑体" w:eastAsia="黑体" w:cs="黑体"/>
          <w:color w:val="auto"/>
          <w:highlight w:val="none"/>
        </w:rPr>
        <w:t>CS</w:t>
      </w:r>
      <w:r>
        <w:rPr>
          <w:rFonts w:hint="eastAsia" w:hAnsi="黑体" w:cs="黑体"/>
          <w:color w:val="auto"/>
          <w:highlight w:val="none"/>
          <w:lang w:val="en-US" w:eastAsia="zh-CN"/>
        </w:rPr>
        <w:t xml:space="preserve"> 35.080</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53F59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854" w:type="dxa"/>
            <w:tcBorders>
              <w:top w:val="nil"/>
              <w:left w:val="nil"/>
              <w:bottom w:val="nil"/>
              <w:right w:val="nil"/>
            </w:tcBorders>
            <w:noWrap w:val="0"/>
            <w:vAlign w:val="top"/>
          </w:tcPr>
          <w:p w14:paraId="7CCBE4F6">
            <w:pPr>
              <w:pStyle w:val="27"/>
              <w:framePr w:wrap="around"/>
              <w:spacing w:line="360" w:lineRule="auto"/>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CCS</w:t>
            </w:r>
            <w:r>
              <w:rPr>
                <w:rFonts w:hint="eastAsia" w:hAnsi="黑体" w:cs="黑体"/>
                <w:color w:val="auto"/>
                <w:highlight w:val="none"/>
                <w:lang w:val="en-US" w:eastAsia="zh-CN"/>
              </w:rPr>
              <w:t xml:space="preserve"> </w:t>
            </w:r>
            <w:r>
              <w:rPr>
                <w:rFonts w:hint="eastAsia" w:hAnsi="黑体" w:cs="黑体"/>
                <w:color w:val="auto"/>
                <w:highlight w:val="none"/>
              </w:rPr>
              <w:t>L77</w:t>
            </w:r>
          </w:p>
        </w:tc>
      </w:tr>
    </w:tbl>
    <w:p w14:paraId="0014922D">
      <w:pPr>
        <w:pStyle w:val="25"/>
        <w:framePr w:wrap="around"/>
        <w:shd w:val="clear" w:color="FFFFFF" w:fill="FFFFFF"/>
        <w:spacing w:line="360" w:lineRule="auto"/>
        <w:rPr>
          <w:color w:val="auto"/>
          <w:highlight w:val="none"/>
        </w:rPr>
      </w:pPr>
      <w:r>
        <w:drawing>
          <wp:inline distT="0" distB="0" distL="114300" distR="114300">
            <wp:extent cx="796290" cy="397510"/>
            <wp:effectExtent l="0" t="0" r="11430" b="139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8"/>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cs="Times New Roman"/>
          <w:color w:val="auto"/>
          <w:highlight w:val="none"/>
        </w:rPr>
        <w:t>21</w:t>
      </w:r>
    </w:p>
    <w:p w14:paraId="369631A0">
      <w:pPr>
        <w:pStyle w:val="24"/>
        <w:framePr w:wrap="around"/>
        <w:spacing w:line="360" w:lineRule="auto"/>
        <w:rPr>
          <w:color w:val="auto"/>
          <w:highlight w:val="none"/>
        </w:rPr>
      </w:pPr>
      <w:r>
        <w:rPr>
          <w:rFonts w:hint="eastAsia"/>
          <w:color w:val="auto"/>
          <w:highlight w:val="none"/>
        </w:rPr>
        <w:t>辽宁省地方标准</w:t>
      </w:r>
    </w:p>
    <w:p w14:paraId="746A63BC">
      <w:pPr>
        <w:pStyle w:val="28"/>
        <w:framePr w:wrap="around" w:x="1677" w:y="3060"/>
        <w:spacing w:line="360" w:lineRule="auto"/>
        <w:rPr>
          <w:rFonts w:hint="eastAsia" w:ascii="黑体" w:hAnsi="黑体" w:eastAsia="黑体" w:cs="黑体"/>
          <w:color w:val="auto"/>
          <w:highlight w:val="none"/>
        </w:rPr>
      </w:pPr>
      <w:r>
        <w:rPr>
          <w:rFonts w:hint="eastAsia" w:ascii="黑体" w:hAnsi="黑体" w:eastAsia="黑体" w:cs="黑体"/>
          <w:color w:val="auto"/>
          <w:highlight w:val="none"/>
        </w:rPr>
        <w:t>DB21/TXXXX—XXXX</w:t>
      </w:r>
    </w:p>
    <w:p w14:paraId="610B919A">
      <w:pPr>
        <w:pStyle w:val="28"/>
        <w:framePr w:wrap="around" w:x="1677" w:y="3060"/>
        <w:spacing w:line="360" w:lineRule="auto"/>
        <w:rPr>
          <w:rFonts w:hint="eastAsia" w:ascii="黑体" w:hAnsi="黑体" w:eastAsia="黑体" w:cs="黑体"/>
          <w:color w:val="auto"/>
          <w:highlight w:val="none"/>
        </w:rPr>
      </w:pP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2960A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1554B3A3">
            <w:pPr>
              <w:pStyle w:val="29"/>
              <w:framePr w:wrap="around" w:x="1677" w:y="3060"/>
              <w:spacing w:line="360" w:lineRule="auto"/>
              <w:rPr>
                <w:color w:val="auto"/>
                <w:highlight w:val="none"/>
              </w:rPr>
            </w:pPr>
          </w:p>
        </w:tc>
      </w:tr>
    </w:tbl>
    <w:p w14:paraId="730D9888">
      <w:pPr>
        <w:pStyle w:val="28"/>
        <w:framePr w:wrap="around" w:x="1677" w:y="3060"/>
        <w:spacing w:line="360" w:lineRule="auto"/>
        <w:rPr>
          <w:color w:val="auto"/>
          <w:highlight w:val="none"/>
        </w:rPr>
      </w:pPr>
    </w:p>
    <w:p w14:paraId="76A32239">
      <w:pPr>
        <w:pStyle w:val="28"/>
        <w:framePr w:wrap="around" w:x="1677" w:y="3060"/>
        <w:spacing w:line="360" w:lineRule="auto"/>
        <w:rPr>
          <w:color w:val="auto"/>
          <w:highlight w:val="none"/>
        </w:rPr>
      </w:pPr>
    </w:p>
    <w:p w14:paraId="31B463B9">
      <w:pPr>
        <w:pStyle w:val="30"/>
        <w:framePr w:wrap="around" w:x="1390" w:y="6437"/>
        <w:spacing w:line="360" w:lineRule="auto"/>
        <w:rPr>
          <w:rFonts w:hint="default" w:eastAsia="黑体"/>
          <w:color w:val="auto"/>
          <w:szCs w:val="22"/>
          <w:highlight w:val="none"/>
          <w:lang w:val="en-US" w:eastAsia="zh-CN"/>
        </w:rPr>
      </w:pPr>
      <w:r>
        <w:rPr>
          <w:rFonts w:hint="eastAsia"/>
          <w:color w:val="auto"/>
          <w:szCs w:val="22"/>
          <w:highlight w:val="none"/>
          <w:lang w:val="en-US" w:eastAsia="zh-CN"/>
        </w:rPr>
        <w:t>工业数据流通  交易服务平台服务规范</w:t>
      </w:r>
    </w:p>
    <w:p w14:paraId="06A4663F">
      <w:pPr>
        <w:pStyle w:val="32"/>
        <w:framePr w:wrap="around" w:x="1390" w:y="6437"/>
        <w:spacing w:line="360" w:lineRule="auto"/>
        <w:rPr>
          <w:color w:val="auto"/>
          <w:highlight w:val="none"/>
        </w:rPr>
      </w:pPr>
      <w:r>
        <w:rPr>
          <w:rFonts w:hint="eastAsia"/>
          <w:color w:val="auto"/>
          <w:highlight w:val="none"/>
          <w:lang w:val="en-US" w:eastAsia="zh-CN"/>
        </w:rPr>
        <w:t>（征求意见稿）</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2AF9A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00F661D9">
            <w:pPr>
              <w:pStyle w:val="32"/>
              <w:framePr w:wrap="around" w:x="1390" w:y="6437"/>
              <w:spacing w:line="360" w:lineRule="auto"/>
              <w:rPr>
                <w:color w:val="auto"/>
                <w:highlight w:val="none"/>
              </w:rPr>
            </w:pPr>
          </w:p>
        </w:tc>
      </w:tr>
      <w:tr w14:paraId="34553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0A5B903E">
            <w:pPr>
              <w:pStyle w:val="34"/>
              <w:framePr w:wrap="around" w:x="1390" w:y="6437"/>
              <w:spacing w:line="360" w:lineRule="auto"/>
              <w:rPr>
                <w:color w:val="auto"/>
                <w:highlight w:val="none"/>
              </w:rPr>
            </w:pPr>
          </w:p>
        </w:tc>
      </w:tr>
    </w:tbl>
    <w:p w14:paraId="7EEB3F8C">
      <w:pPr>
        <w:pStyle w:val="35"/>
        <w:framePr w:wrap="around" w:vAnchor="page" w:hAnchor="page" w:x="1279" w:y="14052"/>
        <w:tabs>
          <w:tab w:val="center" w:pos="1998"/>
        </w:tabs>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1312" behindDoc="0" locked="1" layoutInCell="1" allowOverlap="1">
                <wp:simplePos x="0" y="0"/>
                <wp:positionH relativeFrom="column">
                  <wp:posOffset>3810</wp:posOffset>
                </wp:positionH>
                <wp:positionV relativeFrom="page">
                  <wp:posOffset>-3421380</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3pt;margin-top:-269.4pt;height:0pt;width:481.9pt;mso-position-vertical-relative:page;z-index:251661312;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c1J4dYAAAAKAQAADwAAAAAAAAABACAAAAAiAAAAZHJzL2Rvd25yZXYueG1sUEsBAhQAFAAA&#10;AAgAh07iQJLOpLTxAQAA6AMAAA4AAAAAAAAAAQAgAAAAJQEAAGRycy9lMm9Eb2MueG1sUEsFBgAA&#10;AAAGAAYAWQEAAIgFAAAAAA==&#10;">
                <v:fill on="f" focussize="0,0"/>
                <v:stroke color="#000000" joinstyle="round"/>
                <v:imagedata o:title=""/>
                <o:lock v:ext="edit" aspectratio="f"/>
                <w10:anchorlock/>
              </v:line>
            </w:pict>
          </mc:Fallback>
        </mc:AlternateContent>
      </w:r>
    </w:p>
    <w:p w14:paraId="4F250480">
      <w:pPr>
        <w:pStyle w:val="37"/>
        <w:framePr w:wrap="around" w:vAnchor="page" w:hAnchor="page" w:x="6820" w:y="14031"/>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实施</w:t>
      </w:r>
    </w:p>
    <w:p w14:paraId="248BCA98">
      <w:pPr>
        <w:pStyle w:val="39"/>
        <w:framePr w:wrap="around"/>
        <w:spacing w:line="360" w:lineRule="auto"/>
        <w:rPr>
          <w:rFonts w:hAnsi="黑体" w:cs="黑体"/>
          <w:color w:val="auto"/>
          <w:highlight w:val="none"/>
        </w:rPr>
      </w:pPr>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7944D169">
      <w:pPr>
        <w:sectPr>
          <w:headerReference r:id="rId3" w:type="default"/>
          <w:headerReference r:id="rId4" w:type="even"/>
          <w:pgSz w:w="11906" w:h="16838"/>
          <w:pgMar w:top="567" w:right="1134"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column">
                  <wp:posOffset>-88265</wp:posOffset>
                </wp:positionH>
                <wp:positionV relativeFrom="paragraph">
                  <wp:posOffset>8350885</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95pt;margin-top:657.55pt;height:0pt;width:481.9pt;z-index:251660288;mso-width-relative:page;mso-height-relative:page;" filled="f" stroked="t" coordsize="21600,21600" o:gfxdata="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Y2/PX1wAAAA0BAAAPAAAAAAAAAAEAIAAAACIAAABkcnMvZG93bnJldi54bWxQ&#10;SwECFAAUAAAACACHTuJA0VjKmfgBAADyAwAADgAAAAAAAAABACAAAAAmAQAAZHJzL2Uyb0RvYy54&#10;bWxQSwUGAAAAAAYABgBZAQAAkA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1602105</wp:posOffset>
                </wp:positionV>
                <wp:extent cx="6062345" cy="6350"/>
                <wp:effectExtent l="0" t="4445" r="3175" b="12065"/>
                <wp:wrapNone/>
                <wp:docPr id="4" name="直接连接符 4"/>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4.9pt;margin-top:126.15pt;height:0.5pt;width:477.35pt;z-index:251659264;mso-width-relative:page;mso-height-relative:page;" filled="f" stroked="t" coordsize="21600,21600" o:gfxdata="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&#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qXY02QAAAAoBAAAPAAAAAAAAAAEAIAAAACIAAABk&#10;cnMvZG93bnJldi54bWxQSwECFAAUAAAACACHTuJAfnn3rQUCAAD/AwAADgAAAAAAAAABACAAAAAo&#10;AQAAZHJzL2Uyb0RvYy54bWxQSwUGAAAAAAYABgBZAQAAnwUAAAAA&#10;">
                <v:fill on="f" focussize="0,0"/>
                <v:stroke color="#000000" joinstyle="round"/>
                <v:imagedata o:title=""/>
                <o:lock v:ext="edit" aspectratio="f"/>
              </v:line>
            </w:pict>
          </mc:Fallback>
        </mc:AlternateContent>
      </w:r>
    </w:p>
    <w:p w14:paraId="4BD12F7F">
      <w:pPr>
        <w:pStyle w:val="50"/>
        <w:keepNext w:val="0"/>
        <w:keepLines w:val="0"/>
        <w:pageBreakBefore w:val="0"/>
        <w:widowControl w:val="0"/>
        <w:kinsoku/>
        <w:wordWrap/>
        <w:overflowPunct/>
        <w:topLinePunct w:val="0"/>
        <w:autoSpaceDE/>
        <w:autoSpaceDN/>
        <w:bidi w:val="0"/>
        <w:adjustRightInd/>
        <w:snapToGrid/>
        <w:spacing w:before="469" w:beforeLines="150" w:after="468"/>
        <w:textAlignment w:val="auto"/>
      </w:pPr>
      <w:r>
        <w:rPr>
          <w:rFonts w:hint="eastAsia"/>
          <w:spacing w:val="320"/>
        </w:rPr>
        <w:t>目</w:t>
      </w:r>
      <w:r>
        <w:rPr>
          <w:rFonts w:hint="eastAsia"/>
        </w:rPr>
        <w:t>次</w:t>
      </w:r>
    </w:p>
    <w:p w14:paraId="66F3789B">
      <w:pPr>
        <w:pStyle w:val="12"/>
        <w:keepNext w:val="0"/>
        <w:keepLines w:val="0"/>
        <w:pageBreakBefore w:val="0"/>
        <w:widowControl w:val="0"/>
        <w:tabs>
          <w:tab w:val="right" w:leader="dot" w:pos="8306"/>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HYPERLINK \l _Toc17705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前言..................................................................................</w:t>
      </w:r>
      <w:r>
        <w:rPr>
          <w:rFonts w:hint="eastAsia" w:ascii="宋体" w:hAnsi="宋体" w:eastAsia="宋体" w:cs="宋体"/>
          <w:kern w:val="2"/>
          <w:sz w:val="21"/>
          <w:szCs w:val="21"/>
          <w:lang w:val="en-US" w:eastAsia="zh-CN" w:bidi="ar-SA"/>
        </w:rPr>
        <w:fldChar w:fldCharType="end"/>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 3 \* ROMAN \* MERGEFORMAT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rPr>
        <w:t>III</w:t>
      </w:r>
      <w:r>
        <w:rPr>
          <w:rFonts w:hint="eastAsia" w:ascii="宋体" w:hAnsi="宋体" w:eastAsia="宋体" w:cs="宋体"/>
          <w:kern w:val="2"/>
          <w:sz w:val="21"/>
          <w:szCs w:val="21"/>
          <w:lang w:val="en-US" w:eastAsia="zh-CN" w:bidi="ar-SA"/>
        </w:rPr>
        <w:fldChar w:fldCharType="end"/>
      </w:r>
    </w:p>
    <w:p w14:paraId="4D7FAA36">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TOC \o "1-4" \h \u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_Toc31767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_Toc31767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169325D">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_Toc303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CAB4126">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_Toc10781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_Toc10781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7575FE2">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_Toc15869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lang w:val="en-US" w:eastAsia="zh-CN"/>
        </w:rPr>
        <w:t>功能要求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_Toc15869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46AD6E1">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_Toc21262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5  </w:t>
      </w:r>
      <w:r>
        <w:rPr>
          <w:rFonts w:hint="eastAsia" w:ascii="宋体" w:hAnsi="宋体" w:eastAsia="宋体" w:cs="宋体"/>
          <w:lang w:val="en-US" w:eastAsia="zh-CN"/>
        </w:rPr>
        <w:t>平台服务框架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_Toc21262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59AB1D9C">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_Toc22445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6  </w:t>
      </w:r>
      <w:r>
        <w:rPr>
          <w:rFonts w:hint="eastAsia" w:ascii="宋体" w:hAnsi="宋体" w:eastAsia="宋体" w:cs="宋体"/>
          <w:lang w:val="en-US" w:eastAsia="zh-CN"/>
        </w:rPr>
        <w:t>平台服务流程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_Toc22445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0760F6D5">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_Toc1291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6.1  </w:t>
      </w:r>
      <w:r>
        <w:rPr>
          <w:rFonts w:hint="eastAsia" w:ascii="宋体" w:hAnsi="宋体" w:eastAsia="宋体" w:cs="宋体"/>
          <w:lang w:val="en-US" w:eastAsia="zh-CN"/>
        </w:rPr>
        <w:t>概述</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_Toc1291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E98E66D">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_Toc30514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6.2  </w:t>
      </w:r>
      <w:r>
        <w:rPr>
          <w:rFonts w:hint="eastAsia" w:ascii="宋体" w:hAnsi="宋体" w:eastAsia="宋体" w:cs="宋体"/>
          <w:lang w:val="en-US" w:eastAsia="zh-CN"/>
        </w:rPr>
        <w:t>标的挂牌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_Toc30514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5C66FCB">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_Toc5415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6.3  </w:t>
      </w:r>
      <w:r>
        <w:rPr>
          <w:rFonts w:hint="eastAsia" w:ascii="宋体" w:hAnsi="宋体" w:eastAsia="宋体" w:cs="宋体"/>
          <w:lang w:val="en-US" w:eastAsia="zh-CN"/>
        </w:rPr>
        <w:t>交易磋商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_Toc5415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DB54F0F">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_Toc4635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6.4  </w:t>
      </w:r>
      <w:r>
        <w:rPr>
          <w:rFonts w:hint="eastAsia" w:ascii="宋体" w:hAnsi="宋体" w:eastAsia="宋体" w:cs="宋体"/>
          <w:lang w:val="en-US" w:eastAsia="zh-CN"/>
        </w:rPr>
        <w:t>合规评估</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_Toc4635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6728F3E">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_Toc32489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6.5  </w:t>
      </w:r>
      <w:r>
        <w:rPr>
          <w:rFonts w:hint="eastAsia" w:ascii="宋体" w:hAnsi="宋体" w:eastAsia="宋体" w:cs="宋体"/>
          <w:lang w:val="en-US" w:eastAsia="zh-CN"/>
        </w:rPr>
        <w:t>数据交付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_Toc32489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E4A12BF">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_Toc22870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6.6  </w:t>
      </w:r>
      <w:r>
        <w:rPr>
          <w:rFonts w:hint="eastAsia" w:ascii="宋体" w:hAnsi="宋体" w:eastAsia="宋体" w:cs="宋体"/>
          <w:lang w:val="en-US" w:eastAsia="zh-CN"/>
        </w:rPr>
        <w:t>支付清算</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_Toc22870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024CC8C">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_Toc3758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6.7  </w:t>
      </w:r>
      <w:r>
        <w:rPr>
          <w:rFonts w:hint="eastAsia" w:ascii="宋体" w:hAnsi="宋体" w:eastAsia="宋体" w:cs="宋体"/>
          <w:lang w:val="en-US" w:eastAsia="zh-CN"/>
        </w:rPr>
        <w:t>售后服务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_Toc3758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F3009E2">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300" w:lineRule="auto"/>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_Toc27303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7  </w:t>
      </w:r>
      <w:r>
        <w:rPr>
          <w:rFonts w:hint="eastAsia" w:ascii="宋体" w:hAnsi="宋体" w:eastAsia="宋体" w:cs="宋体"/>
          <w:lang w:val="en-US" w:eastAsia="zh-CN"/>
        </w:rPr>
        <w:t>平台服务要求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_Toc27303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020A939">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_Toc14540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7.1  </w:t>
      </w:r>
      <w:r>
        <w:rPr>
          <w:rFonts w:hint="eastAsia" w:ascii="宋体" w:hAnsi="宋体" w:eastAsia="宋体" w:cs="宋体"/>
          <w:lang w:val="en-US" w:eastAsia="zh-CN"/>
        </w:rPr>
        <w:t>信息服务要求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_Toc14540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D638AF8">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_Toc2978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7.2  </w:t>
      </w:r>
      <w:r>
        <w:rPr>
          <w:rFonts w:hint="eastAsia" w:ascii="宋体" w:hAnsi="宋体" w:eastAsia="宋体" w:cs="宋体"/>
          <w:lang w:val="en-US" w:eastAsia="zh-CN"/>
        </w:rPr>
        <w:t>交易服务要求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_Toc2978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5137E29D">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firstLine="210" w:firstLine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_Toc24961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7.3  </w:t>
      </w:r>
      <w:r>
        <w:rPr>
          <w:rFonts w:hint="eastAsia" w:ascii="宋体" w:hAnsi="宋体" w:eastAsia="宋体" w:cs="宋体"/>
          <w:lang w:val="en-US" w:eastAsia="zh-CN"/>
        </w:rPr>
        <w:t>售后服务要求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_Toc24961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496684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eastAsia="宋体"/>
          <w:lang w:val="en-US" w:eastAsia="zh-CN"/>
        </w:rPr>
        <w:sectPr>
          <w:headerReference r:id="rId5" w:type="default"/>
          <w:footerReference r:id="rId7" w:type="default"/>
          <w:headerReference r:id="rId6" w:type="even"/>
          <w:footerReference r:id="rId8"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ascii="宋体" w:hAnsi="宋体" w:eastAsia="宋体" w:cs="宋体"/>
          <w:lang w:val="en-US" w:eastAsia="zh-CN"/>
        </w:rPr>
        <w:fldChar w:fldCharType="end"/>
      </w:r>
    </w:p>
    <w:p w14:paraId="4988315C">
      <w:pPr>
        <w:pStyle w:val="12"/>
        <w:tabs>
          <w:tab w:val="right" w:leader="dot" w:pos="9355"/>
          <w:tab w:val="clear" w:pos="9242"/>
        </w:tabs>
        <w:jc w:val="center"/>
        <w:rPr>
          <w:rFonts w:hint="eastAsia" w:ascii="黑体" w:hAnsi="黑体" w:eastAsia="黑体" w:cs="黑体"/>
          <w:sz w:val="32"/>
          <w:szCs w:val="32"/>
        </w:rPr>
      </w:pPr>
      <w:r>
        <w:rPr>
          <w:rFonts w:hint="eastAsia" w:ascii="黑体" w:hAnsi="黑体" w:eastAsia="黑体" w:cs="黑体"/>
          <w:sz w:val="32"/>
          <w:szCs w:val="32"/>
        </w:rPr>
        <w:t>前</w:t>
      </w:r>
      <w:bookmarkStart w:id="0" w:name="BKQY"/>
      <w:r>
        <w:rPr>
          <w:rFonts w:hint="eastAsia" w:ascii="黑体" w:hAnsi="黑体" w:eastAsia="黑体" w:cs="黑体"/>
          <w:sz w:val="32"/>
          <w:szCs w:val="32"/>
        </w:rPr>
        <w:t>  言</w:t>
      </w:r>
      <w:bookmarkEnd w:id="0"/>
    </w:p>
    <w:p w14:paraId="3F14B03D">
      <w:pPr>
        <w:pStyle w:val="17"/>
        <w:rPr>
          <w:rFonts w:hint="eastAsia" w:ascii="宋体" w:hAnsi="宋体" w:eastAsia="宋体" w:cs="宋体"/>
        </w:rPr>
      </w:pPr>
      <w:r>
        <w:rPr>
          <w:rFonts w:hint="eastAsia" w:ascii="宋体" w:hAnsi="宋体" w:eastAsia="宋体" w:cs="宋体"/>
        </w:rPr>
        <w:t>本文件按照GB/T</w:t>
      </w:r>
      <w:r>
        <w:rPr>
          <w:rFonts w:hint="eastAsia" w:ascii="宋体" w:hAnsi="宋体" w:eastAsia="宋体" w:cs="宋体"/>
          <w:lang w:val="en-US" w:eastAsia="zh-CN"/>
        </w:rPr>
        <w:t xml:space="preserve"> 1.1</w:t>
      </w:r>
      <w:r>
        <w:rPr>
          <w:rFonts w:hint="eastAsia" w:ascii="宋体" w:hAnsi="宋体" w:eastAsia="宋体" w:cs="宋体"/>
        </w:rPr>
        <w:t>-2020《标准化工作导则 第1部分：标准化文件的结构和起草规则》的规</w:t>
      </w:r>
      <w:r>
        <w:rPr>
          <w:rFonts w:hint="eastAsia" w:ascii="宋体" w:hAnsi="宋体" w:eastAsia="宋体" w:cs="宋体"/>
          <w:lang w:val="en-US"/>
        </w:rPr>
        <w:t>定</w:t>
      </w:r>
      <w:r>
        <w:rPr>
          <w:rFonts w:hint="eastAsia" w:ascii="宋体" w:hAnsi="宋体" w:eastAsia="宋体" w:cs="宋体"/>
        </w:rPr>
        <w:t>起草。</w:t>
      </w:r>
    </w:p>
    <w:p w14:paraId="7FF2C574">
      <w:pPr>
        <w:pStyle w:val="17"/>
        <w:rPr>
          <w:rFonts w:hint="default" w:ascii="宋体" w:hAnsi="宋体" w:eastAsia="宋体" w:cs="宋体"/>
          <w:lang w:val="en-US" w:eastAsia="zh-CN"/>
        </w:rPr>
      </w:pPr>
      <w:r>
        <w:rPr>
          <w:rFonts w:hint="eastAsia" w:hAnsi="宋体" w:cs="宋体"/>
          <w:lang w:val="en-US" w:eastAsia="zh-CN"/>
        </w:rPr>
        <w:t>请注意本文件的某些内容可能涉及专利。本文件的发布机构不承担识别专利的责任。</w:t>
      </w:r>
    </w:p>
    <w:p w14:paraId="019877B4">
      <w:pPr>
        <w:pStyle w:val="17"/>
        <w:rPr>
          <w:rFonts w:hint="eastAsia" w:ascii="宋体" w:hAnsi="宋体" w:eastAsia="宋体" w:cs="宋体"/>
        </w:rPr>
      </w:pPr>
      <w:r>
        <w:rPr>
          <w:rFonts w:hint="eastAsia" w:ascii="宋体" w:hAnsi="宋体" w:eastAsia="宋体" w:cs="宋体"/>
        </w:rPr>
        <w:t>本文件由</w:t>
      </w:r>
      <w:r>
        <w:rPr>
          <w:rFonts w:hint="eastAsia" w:hAnsi="宋体"/>
          <w:lang w:val="en-US" w:eastAsia="zh-CN"/>
        </w:rPr>
        <w:t>辽宁省工业和信息化厅</w:t>
      </w:r>
      <w:r>
        <w:rPr>
          <w:rFonts w:hint="eastAsia" w:ascii="宋体" w:hAnsi="宋体" w:eastAsia="宋体" w:cs="宋体"/>
        </w:rPr>
        <w:t>提出</w:t>
      </w:r>
      <w:r>
        <w:rPr>
          <w:rFonts w:hint="eastAsia" w:hAnsi="宋体" w:cs="宋体"/>
          <w:lang w:val="en-US" w:eastAsia="zh-CN"/>
        </w:rPr>
        <w:t>并归口</w:t>
      </w:r>
      <w:r>
        <w:rPr>
          <w:rFonts w:hint="eastAsia" w:ascii="宋体" w:hAnsi="宋体" w:eastAsia="宋体" w:cs="宋体"/>
        </w:rPr>
        <w:t>。</w:t>
      </w:r>
    </w:p>
    <w:p w14:paraId="452FC9BC">
      <w:pPr>
        <w:pStyle w:val="17"/>
        <w:rPr>
          <w:rFonts w:hint="eastAsia" w:hAnsi="宋体" w:cs="宋体"/>
          <w:lang w:val="en-US" w:eastAsia="zh-CN"/>
        </w:rPr>
      </w:pPr>
      <w:r>
        <w:rPr>
          <w:rFonts w:hint="eastAsia" w:ascii="宋体" w:hAnsi="宋体" w:eastAsia="宋体" w:cs="宋体"/>
        </w:rPr>
        <w:t>本文件起草单位</w:t>
      </w:r>
      <w:r>
        <w:rPr>
          <w:rFonts w:hint="eastAsia" w:hAnsi="宋体" w:cs="宋体"/>
          <w:lang w:eastAsia="zh-CN"/>
        </w:rPr>
        <w:t>：</w:t>
      </w:r>
      <w:r>
        <w:rPr>
          <w:rFonts w:hint="eastAsia" w:ascii="宋体" w:hAnsi="宋体" w:eastAsia="宋体" w:cs="宋体"/>
        </w:rPr>
        <w:t>沈阳华睿博信息技术有限公司</w:t>
      </w:r>
      <w:r>
        <w:rPr>
          <w:rFonts w:hint="eastAsia" w:ascii="宋体" w:hAnsi="宋体" w:eastAsia="宋体" w:cs="宋体"/>
          <w:lang w:val="en-US" w:eastAsia="zh-CN"/>
        </w:rPr>
        <w:t>等。</w:t>
      </w:r>
    </w:p>
    <w:p w14:paraId="3EC9DAE1">
      <w:pPr>
        <w:pStyle w:val="17"/>
        <w:rPr>
          <w:rFonts w:hint="default" w:ascii="宋体" w:hAnsi="宋体" w:eastAsia="宋体" w:cs="宋体"/>
          <w:lang w:val="en-US"/>
        </w:rPr>
      </w:pPr>
      <w:r>
        <w:rPr>
          <w:rFonts w:hint="eastAsia" w:ascii="宋体" w:hAnsi="宋体" w:eastAsia="宋体" w:cs="宋体"/>
        </w:rPr>
        <w:t>本文件主要起草人：</w:t>
      </w:r>
      <w:r>
        <w:rPr>
          <w:rFonts w:hint="eastAsia" w:hAnsi="宋体" w:cs="宋体"/>
          <w:lang w:val="en-US" w:eastAsia="zh-CN"/>
        </w:rPr>
        <w:t>邵华等。</w:t>
      </w:r>
    </w:p>
    <w:p w14:paraId="17FAA670">
      <w:pPr>
        <w:pStyle w:val="17"/>
        <w:rPr>
          <w:rFonts w:hint="eastAsia" w:ascii="宋体" w:hAnsi="宋体" w:eastAsia="宋体" w:cs="宋体"/>
        </w:rPr>
      </w:pPr>
      <w:r>
        <w:rPr>
          <w:rFonts w:hint="eastAsia" w:ascii="宋体" w:hAnsi="宋体" w:eastAsia="宋体" w:cs="宋体"/>
        </w:rPr>
        <w:t>本文件发布实施后，任何单位和个人如有问题和意见建议，均可以通过来电和来函等方式进行反馈，我们将及时答复并认真处理，根据实际情况依法进行评估及复审。</w:t>
      </w:r>
    </w:p>
    <w:p w14:paraId="3836288F">
      <w:pPr>
        <w:pStyle w:val="17"/>
        <w:rPr>
          <w:rFonts w:hint="eastAsia" w:ascii="宋体" w:hAnsi="宋体" w:eastAsia="宋体" w:cs="宋体"/>
        </w:rPr>
      </w:pPr>
      <w:r>
        <w:rPr>
          <w:rFonts w:hint="eastAsia" w:ascii="宋体" w:hAnsi="宋体" w:eastAsia="宋体" w:cs="宋体"/>
        </w:rPr>
        <w:t>归口管理部门通信地址：辽宁省沈阳市皇姑区北陵大街45-2号。</w:t>
      </w:r>
    </w:p>
    <w:p w14:paraId="59B4C6DF">
      <w:pPr>
        <w:pStyle w:val="17"/>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07827780">
      <w:pPr>
        <w:pStyle w:val="17"/>
        <w:rPr>
          <w:rFonts w:hint="eastAsia" w:ascii="宋体" w:hAnsi="宋体" w:eastAsia="宋体" w:cs="宋体"/>
        </w:rPr>
      </w:pPr>
      <w:r>
        <w:rPr>
          <w:rFonts w:hint="eastAsia" w:ascii="宋体" w:hAnsi="宋体" w:eastAsia="宋体" w:cs="宋体"/>
        </w:rPr>
        <w:t>标准起草单位通讯地址：辽宁省沈阳市和平区青年大街386号华阳国际大厦2396。</w:t>
      </w:r>
    </w:p>
    <w:p w14:paraId="3501A53F">
      <w:pPr>
        <w:pStyle w:val="17"/>
        <w:rPr>
          <w:szCs w:val="22"/>
        </w:rPr>
        <w:sectPr>
          <w:headerReference r:id="rId9" w:type="default"/>
          <w:footerReference r:id="rId11" w:type="default"/>
          <w:headerReference r:id="rId10" w:type="even"/>
          <w:footerReference r:id="rId12"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3"/>
          <w:cols w:space="720" w:num="1"/>
          <w:formProt w:val="0"/>
          <w:docGrid w:type="lines" w:linePitch="312" w:charSpace="0"/>
        </w:sectPr>
      </w:pPr>
      <w:r>
        <w:rPr>
          <w:rFonts w:hint="eastAsia" w:ascii="宋体" w:hAnsi="宋体" w:eastAsia="宋体" w:cs="宋体"/>
        </w:rPr>
        <w:t>标准起草单位联系电话：18698849086。</w:t>
      </w:r>
    </w:p>
    <w:p w14:paraId="03E1C4E4">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工业数据流通  交易服务平台服务规范</w:t>
      </w:r>
    </w:p>
    <w:p w14:paraId="7350CA32">
      <w:pPr>
        <w:pStyle w:val="16"/>
        <w:spacing w:before="312" w:after="312"/>
      </w:pPr>
      <w:bookmarkStart w:id="1" w:name="_Toc15358"/>
      <w:bookmarkStart w:id="2" w:name="_Toc13382"/>
      <w:bookmarkStart w:id="3" w:name="_Toc2662"/>
      <w:bookmarkStart w:id="4" w:name="_Toc13848"/>
      <w:bookmarkStart w:id="5" w:name="_Toc28049"/>
      <w:bookmarkStart w:id="6" w:name="_Toc31767"/>
      <w:bookmarkStart w:id="7" w:name="_Toc30235"/>
      <w:bookmarkStart w:id="8" w:name="_Toc12448"/>
      <w:bookmarkStart w:id="9" w:name="_Toc14983"/>
      <w:bookmarkStart w:id="10" w:name="_Toc30899"/>
      <w:bookmarkStart w:id="11" w:name="_Toc1753"/>
      <w:bookmarkStart w:id="12" w:name="_Toc21437"/>
      <w:bookmarkStart w:id="13" w:name="_Toc15340"/>
      <w:bookmarkStart w:id="14" w:name="_Toc23807"/>
      <w:r>
        <w:rPr>
          <w:rFonts w:hint="eastAsia"/>
        </w:rPr>
        <w:t>范围</w:t>
      </w:r>
      <w:bookmarkEnd w:id="1"/>
      <w:bookmarkEnd w:id="2"/>
      <w:bookmarkEnd w:id="3"/>
      <w:bookmarkEnd w:id="4"/>
      <w:bookmarkEnd w:id="5"/>
      <w:bookmarkEnd w:id="6"/>
      <w:bookmarkEnd w:id="7"/>
      <w:bookmarkEnd w:id="8"/>
      <w:bookmarkEnd w:id="9"/>
      <w:bookmarkEnd w:id="10"/>
      <w:bookmarkEnd w:id="11"/>
      <w:bookmarkEnd w:id="12"/>
      <w:bookmarkEnd w:id="13"/>
      <w:bookmarkEnd w:id="14"/>
    </w:p>
    <w:p w14:paraId="0D996EE3">
      <w:pPr>
        <w:pStyle w:val="17"/>
        <w:rPr>
          <w:rFonts w:hint="eastAsia"/>
          <w:szCs w:val="21"/>
          <w:highlight w:val="none"/>
          <w:lang w:val="en-US" w:eastAsia="zh-CN"/>
        </w:rPr>
      </w:pPr>
      <w:r>
        <w:rPr>
          <w:rFonts w:hint="eastAsia"/>
          <w:szCs w:val="21"/>
          <w:highlight w:val="none"/>
          <w:lang w:val="en-US" w:eastAsia="zh-CN"/>
        </w:rPr>
        <w:t>本文件明确了数据交易服务平台的功能要求，给出了数据交易服务平台的服务框架、服务流程以及服务要求。</w:t>
      </w:r>
    </w:p>
    <w:p w14:paraId="56227937">
      <w:pPr>
        <w:pStyle w:val="17"/>
        <w:rPr>
          <w:rFonts w:hint="default" w:eastAsia="宋体"/>
          <w:szCs w:val="21"/>
          <w:highlight w:val="none"/>
          <w:lang w:val="en-US" w:eastAsia="zh-CN"/>
        </w:rPr>
      </w:pPr>
      <w:r>
        <w:rPr>
          <w:rFonts w:hint="eastAsia"/>
          <w:szCs w:val="21"/>
          <w:highlight w:val="none"/>
          <w:lang w:val="en-US" w:eastAsia="zh-CN"/>
        </w:rPr>
        <w:t>本文件适用于指导数据交易服务平台提供数据交易服务。</w:t>
      </w:r>
    </w:p>
    <w:p w14:paraId="364527A1">
      <w:pPr>
        <w:pStyle w:val="16"/>
        <w:spacing w:before="312" w:after="312"/>
      </w:pPr>
      <w:bookmarkStart w:id="15" w:name="_Toc16965"/>
      <w:bookmarkStart w:id="16" w:name="_Toc5529"/>
      <w:bookmarkStart w:id="17" w:name="_Toc28726"/>
      <w:bookmarkStart w:id="18" w:name="_Toc9011"/>
      <w:bookmarkStart w:id="19" w:name="_Toc969"/>
      <w:bookmarkStart w:id="20" w:name="_Toc10575"/>
      <w:bookmarkStart w:id="21" w:name="_Toc26322"/>
      <w:bookmarkStart w:id="22" w:name="_Toc5546"/>
      <w:bookmarkStart w:id="23" w:name="_Toc21298"/>
      <w:bookmarkStart w:id="24" w:name="_Toc25908"/>
      <w:bookmarkStart w:id="25" w:name="_Toc303"/>
      <w:bookmarkStart w:id="26" w:name="_Toc4372"/>
      <w:bookmarkStart w:id="27" w:name="_Toc13501"/>
      <w:bookmarkStart w:id="28" w:name="_Toc17506"/>
      <w:r>
        <w:rPr>
          <w:rFonts w:hint="eastAsia"/>
        </w:rPr>
        <w:t>规范性引用文件</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37D195C0">
      <w:pPr>
        <w:pStyle w:val="17"/>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95C4E91">
      <w:pPr>
        <w:pStyle w:val="17"/>
        <w:rPr>
          <w:rFonts w:hint="default"/>
          <w:lang w:val="en-US" w:eastAsia="zh-CN"/>
        </w:rPr>
      </w:pPr>
      <w:r>
        <w:rPr>
          <w:rFonts w:hint="eastAsia"/>
          <w:lang w:val="en-US" w:eastAsia="zh-CN"/>
        </w:rPr>
        <w:t>GB/T 37728-2019  信息技术  数据交易服务平台  通用功能要求</w:t>
      </w:r>
    </w:p>
    <w:p w14:paraId="2A8FDBBF">
      <w:pPr>
        <w:pStyle w:val="17"/>
        <w:rPr>
          <w:rFonts w:hint="eastAsia"/>
          <w:lang w:val="en-US" w:eastAsia="zh-CN"/>
        </w:rPr>
      </w:pPr>
      <w:r>
        <w:rPr>
          <w:rFonts w:hint="default"/>
          <w:lang w:val="en-US" w:eastAsia="zh-CN"/>
        </w:rPr>
        <w:t>GB/T 37932-2019</w:t>
      </w:r>
      <w:r>
        <w:rPr>
          <w:rFonts w:hint="eastAsia"/>
          <w:lang w:val="en-US" w:eastAsia="zh-CN"/>
        </w:rPr>
        <w:t xml:space="preserve">  信息安全技术  数据交易服务安全要求</w:t>
      </w:r>
    </w:p>
    <w:p w14:paraId="74D429AB">
      <w:pPr>
        <w:pStyle w:val="17"/>
        <w:rPr>
          <w:rFonts w:hint="default"/>
          <w:lang w:val="en-US" w:eastAsia="zh-CN"/>
        </w:rPr>
      </w:pPr>
      <w:r>
        <w:rPr>
          <w:rFonts w:hint="default"/>
          <w:lang w:val="en-US" w:eastAsia="zh-CN"/>
        </w:rPr>
        <w:t>DB21/T 3894-2023</w:t>
      </w:r>
      <w:r>
        <w:rPr>
          <w:rFonts w:hint="eastAsia"/>
          <w:lang w:val="en-US" w:eastAsia="zh-CN"/>
        </w:rPr>
        <w:t xml:space="preserve">  工业数据流通  数据交易实施规范</w:t>
      </w:r>
    </w:p>
    <w:p w14:paraId="6A81DBFC">
      <w:pPr>
        <w:pStyle w:val="16"/>
        <w:spacing w:before="312" w:after="312"/>
      </w:pPr>
      <w:bookmarkStart w:id="29" w:name="_Toc8985"/>
      <w:bookmarkStart w:id="30" w:name="_Toc9104"/>
      <w:bookmarkStart w:id="31" w:name="_Toc420509244"/>
      <w:bookmarkStart w:id="32" w:name="_Toc420509188"/>
      <w:bookmarkStart w:id="33" w:name="_Toc24065"/>
      <w:bookmarkStart w:id="34" w:name="_Toc21133"/>
      <w:bookmarkStart w:id="35" w:name="_Toc32127"/>
      <w:bookmarkStart w:id="36" w:name="_Toc11012"/>
      <w:bookmarkStart w:id="37" w:name="_Toc5294"/>
      <w:bookmarkStart w:id="38" w:name="_Toc10781"/>
      <w:bookmarkStart w:id="39" w:name="_Toc6828"/>
      <w:bookmarkStart w:id="40" w:name="_Toc810"/>
      <w:bookmarkStart w:id="41" w:name="_Toc26159"/>
      <w:bookmarkStart w:id="42" w:name="_Toc2297"/>
      <w:bookmarkStart w:id="43" w:name="_Toc12695"/>
      <w:bookmarkStart w:id="44" w:name="_Toc22600"/>
      <w:r>
        <w:rPr>
          <w:rFonts w:hint="eastAsia"/>
        </w:rPr>
        <w:t>术语和定义</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7569897F">
      <w:pPr>
        <w:pStyle w:val="17"/>
        <w:rPr>
          <w:rFonts w:hAnsi="宋体"/>
        </w:rPr>
      </w:pPr>
      <w:r>
        <w:rPr>
          <w:rFonts w:hAnsi="宋体"/>
        </w:rPr>
        <w:t>下列术语和定义适用于本</w:t>
      </w:r>
      <w:r>
        <w:rPr>
          <w:rFonts w:hint="eastAsia" w:hAnsi="宋体"/>
        </w:rPr>
        <w:t>文件。</w:t>
      </w:r>
    </w:p>
    <w:p w14:paraId="6E96C642">
      <w:pPr>
        <w:pStyle w:val="18"/>
        <w:spacing w:before="156" w:after="156"/>
      </w:pPr>
      <w:bookmarkStart w:id="45" w:name="_Toc10404"/>
      <w:bookmarkEnd w:id="45"/>
      <w:bookmarkStart w:id="46" w:name="_Toc20309"/>
      <w:bookmarkEnd w:id="46"/>
      <w:bookmarkStart w:id="47" w:name="_Toc26201"/>
      <w:bookmarkEnd w:id="47"/>
      <w:bookmarkStart w:id="48" w:name="_Toc30781"/>
      <w:bookmarkEnd w:id="48"/>
      <w:bookmarkStart w:id="49" w:name="_Toc13265"/>
      <w:bookmarkEnd w:id="49"/>
      <w:bookmarkStart w:id="50" w:name="_Toc23493"/>
      <w:bookmarkEnd w:id="50"/>
      <w:bookmarkStart w:id="51" w:name="_Toc420509245"/>
      <w:bookmarkEnd w:id="51"/>
      <w:bookmarkStart w:id="52" w:name="_Toc25440"/>
      <w:bookmarkEnd w:id="52"/>
      <w:bookmarkStart w:id="53" w:name="_Toc30584"/>
      <w:bookmarkEnd w:id="53"/>
      <w:bookmarkStart w:id="54" w:name="_Toc12270"/>
      <w:bookmarkEnd w:id="54"/>
      <w:bookmarkStart w:id="55" w:name="_Toc6349"/>
      <w:bookmarkEnd w:id="55"/>
      <w:bookmarkStart w:id="56" w:name="_Toc18012"/>
      <w:bookmarkEnd w:id="56"/>
      <w:bookmarkStart w:id="57" w:name="_Toc14980"/>
      <w:bookmarkEnd w:id="57"/>
      <w:bookmarkStart w:id="58" w:name="_Toc17341"/>
      <w:bookmarkEnd w:id="58"/>
      <w:bookmarkStart w:id="59" w:name="_Toc1258"/>
      <w:bookmarkEnd w:id="59"/>
      <w:bookmarkStart w:id="60" w:name="_Toc5219"/>
      <w:bookmarkEnd w:id="60"/>
      <w:bookmarkStart w:id="61" w:name="_Toc11898"/>
      <w:bookmarkEnd w:id="61"/>
      <w:bookmarkStart w:id="62" w:name="_Toc1386"/>
      <w:bookmarkEnd w:id="62"/>
      <w:bookmarkStart w:id="63" w:name="_Toc11884"/>
      <w:bookmarkEnd w:id="63"/>
      <w:bookmarkStart w:id="64" w:name="_Toc27648"/>
      <w:bookmarkEnd w:id="64"/>
      <w:bookmarkStart w:id="65" w:name="_Toc11808"/>
      <w:bookmarkEnd w:id="65"/>
      <w:bookmarkStart w:id="66" w:name="_Toc17337"/>
      <w:bookmarkEnd w:id="66"/>
      <w:bookmarkStart w:id="67" w:name="_Toc30917"/>
      <w:bookmarkEnd w:id="67"/>
      <w:bookmarkStart w:id="68" w:name="_Toc420509189"/>
      <w:bookmarkEnd w:id="68"/>
      <w:bookmarkStart w:id="69" w:name="_Toc29340"/>
      <w:bookmarkEnd w:id="69"/>
      <w:bookmarkStart w:id="70" w:name="_Toc10953"/>
      <w:bookmarkEnd w:id="70"/>
      <w:bookmarkStart w:id="71" w:name="_Toc16784"/>
      <w:bookmarkEnd w:id="71"/>
      <w:bookmarkStart w:id="72" w:name="_Toc3181"/>
      <w:bookmarkEnd w:id="72"/>
      <w:bookmarkStart w:id="73" w:name="_Toc14381"/>
      <w:bookmarkEnd w:id="73"/>
      <w:bookmarkStart w:id="74" w:name="_Toc5131"/>
      <w:bookmarkEnd w:id="74"/>
      <w:bookmarkStart w:id="75" w:name="_Toc11248"/>
      <w:bookmarkEnd w:id="75"/>
      <w:bookmarkStart w:id="76" w:name="_Toc25377"/>
      <w:bookmarkEnd w:id="76"/>
      <w:bookmarkStart w:id="77" w:name="_Toc13539"/>
      <w:bookmarkEnd w:id="77"/>
      <w:bookmarkStart w:id="78" w:name="_Toc10312"/>
    </w:p>
    <w:p w14:paraId="7F394021">
      <w:pPr>
        <w:widowControl w:val="0"/>
        <w:autoSpaceDE/>
        <w:autoSpaceDN/>
        <w:ind w:firstLine="420" w:firstLineChars="200"/>
        <w:rPr>
          <w:rFonts w:hint="eastAsia" w:ascii="黑体" w:hAnsi="黑体" w:eastAsia="黑体" w:cs="黑体"/>
          <w:sz w:val="21"/>
          <w:szCs w:val="21"/>
          <w:lang w:val="en-US" w:eastAsia="zh-CN"/>
        </w:rPr>
      </w:pPr>
      <w:bookmarkStart w:id="79" w:name="_Toc28241"/>
      <w:bookmarkEnd w:id="79"/>
      <w:bookmarkStart w:id="80" w:name="_Toc24605"/>
      <w:bookmarkEnd w:id="80"/>
      <w:bookmarkStart w:id="81" w:name="_Toc29716"/>
      <w:bookmarkEnd w:id="81"/>
      <w:bookmarkStart w:id="82" w:name="_Toc27285"/>
      <w:bookmarkEnd w:id="82"/>
      <w:bookmarkStart w:id="83" w:name="_Toc7677"/>
      <w:bookmarkEnd w:id="83"/>
      <w:bookmarkStart w:id="84" w:name="_Toc11306"/>
      <w:bookmarkEnd w:id="84"/>
      <w:r>
        <w:rPr>
          <w:rFonts w:hint="eastAsia" w:ascii="黑体" w:hAnsi="黑体" w:eastAsia="黑体" w:cs="黑体"/>
          <w:sz w:val="21"/>
          <w:szCs w:val="21"/>
          <w:lang w:val="en-US" w:eastAsia="zh-CN"/>
        </w:rPr>
        <w:t>数据交易服务平台  data transaction service platform</w:t>
      </w:r>
    </w:p>
    <w:p w14:paraId="3CA373A0">
      <w:pPr>
        <w:pStyle w:val="17"/>
        <w:rPr>
          <w:rFonts w:hint="default"/>
          <w:lang w:val="en-US" w:eastAsia="zh-CN"/>
        </w:rPr>
      </w:pPr>
      <w:r>
        <w:rPr>
          <w:rFonts w:hint="default"/>
          <w:lang w:val="en-US" w:eastAsia="zh-CN"/>
        </w:rPr>
        <w:t>为数据交易提供各项服务的信息化平台。</w:t>
      </w:r>
    </w:p>
    <w:p w14:paraId="3BEC7D8E">
      <w:pPr>
        <w:widowControl w:val="0"/>
        <w:autoSpaceDE/>
        <w:autoSpaceDN/>
        <w:ind w:firstLine="420" w:firstLineChars="200"/>
        <w:rPr>
          <w:rFonts w:hint="eastAsia" w:ascii="宋体" w:hAnsi="宋体" w:eastAsia="宋体" w:cs="宋体"/>
          <w:sz w:val="21"/>
          <w:szCs w:val="21"/>
          <w:lang w:val="en-US" w:eastAsia="zh-CN"/>
        </w:rPr>
      </w:pPr>
      <w:r>
        <w:rPr>
          <w:rFonts w:hint="default"/>
          <w:lang w:val="en-US" w:eastAsia="zh-CN"/>
        </w:rPr>
        <w:t>[来源:GB/T 37932-2019，3.6]</w:t>
      </w:r>
      <w:bookmarkStart w:id="85" w:name="_Toc28880"/>
      <w:bookmarkEnd w:id="85"/>
    </w:p>
    <w:p w14:paraId="5175666A">
      <w:pPr>
        <w:pStyle w:val="18"/>
        <w:spacing w:before="156" w:after="156"/>
      </w:pPr>
      <w:bookmarkStart w:id="86" w:name="_Toc14676"/>
      <w:bookmarkEnd w:id="86"/>
      <w:bookmarkStart w:id="87" w:name="_Toc17984"/>
      <w:bookmarkEnd w:id="87"/>
    </w:p>
    <w:p w14:paraId="6646A078">
      <w:pPr>
        <w:widowControl w:val="0"/>
        <w:autoSpaceDE/>
        <w:autoSpaceDN/>
        <w:ind w:firstLine="420" w:firstLineChars="20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数据需方  data acquirer</w:t>
      </w:r>
    </w:p>
    <w:p w14:paraId="3842920C">
      <w:pPr>
        <w:pStyle w:val="17"/>
        <w:rPr>
          <w:rFonts w:hint="default"/>
          <w:lang w:val="en-US" w:eastAsia="zh-CN"/>
        </w:rPr>
      </w:pPr>
      <w:r>
        <w:rPr>
          <w:rFonts w:hint="default"/>
          <w:lang w:val="en-US" w:eastAsia="zh-CN"/>
        </w:rPr>
        <w:t>数据交易中购买和使用数据的组织机构。</w:t>
      </w:r>
    </w:p>
    <w:p w14:paraId="70CE6DDB">
      <w:pPr>
        <w:widowControl w:val="0"/>
        <w:autoSpaceDE/>
        <w:autoSpaceDN/>
        <w:ind w:firstLine="420" w:firstLineChars="200"/>
        <w:rPr>
          <w:rFonts w:hint="eastAsia" w:hAnsi="宋体" w:cs="宋体"/>
          <w:i/>
          <w:iCs/>
          <w:szCs w:val="21"/>
        </w:rPr>
      </w:pPr>
      <w:r>
        <w:rPr>
          <w:rFonts w:hint="default"/>
          <w:lang w:val="en-US" w:eastAsia="zh-CN"/>
        </w:rPr>
        <w:t>[来源:GB/T 37932-2019，3.3]</w:t>
      </w:r>
    </w:p>
    <w:p w14:paraId="7DC26F8C">
      <w:pPr>
        <w:pStyle w:val="18"/>
        <w:spacing w:before="156" w:after="156"/>
      </w:pPr>
      <w:bookmarkStart w:id="88" w:name="_Toc23907"/>
      <w:bookmarkEnd w:id="88"/>
    </w:p>
    <w:p w14:paraId="6338E018">
      <w:pPr>
        <w:widowControl w:val="0"/>
        <w:autoSpaceDE/>
        <w:autoSpaceDN/>
        <w:ind w:firstLine="420" w:firstLineChars="20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数据供方  data supplier</w:t>
      </w:r>
    </w:p>
    <w:p w14:paraId="5F0F23FE">
      <w:pPr>
        <w:pStyle w:val="17"/>
        <w:rPr>
          <w:rFonts w:hint="default"/>
          <w:lang w:val="en-US" w:eastAsia="zh-CN"/>
        </w:rPr>
      </w:pPr>
      <w:r>
        <w:rPr>
          <w:rFonts w:hint="default"/>
          <w:lang w:val="en-US" w:eastAsia="zh-CN"/>
        </w:rPr>
        <w:t>数据交易中提供数据的组织机构。</w:t>
      </w:r>
    </w:p>
    <w:p w14:paraId="554EA258">
      <w:pPr>
        <w:widowControl w:val="0"/>
        <w:autoSpaceDE/>
        <w:autoSpaceDN/>
        <w:ind w:firstLine="420" w:firstLineChars="200"/>
        <w:rPr>
          <w:rFonts w:hint="eastAsia" w:ascii="宋体" w:hAnsi="宋体" w:eastAsia="宋体" w:cs="宋体"/>
          <w:sz w:val="21"/>
          <w:szCs w:val="21"/>
          <w:lang w:val="en-US" w:eastAsia="zh-CN"/>
        </w:rPr>
      </w:pPr>
      <w:r>
        <w:rPr>
          <w:rFonts w:hint="default"/>
          <w:lang w:val="en-US" w:eastAsia="zh-CN"/>
        </w:rPr>
        <w:t>[来源:GB/T 37932-2019，3.2]</w:t>
      </w:r>
    </w:p>
    <w:p w14:paraId="60AF779C">
      <w:pPr>
        <w:pStyle w:val="16"/>
        <w:bidi w:val="0"/>
        <w:rPr>
          <w:rFonts w:hint="eastAsia"/>
          <w:lang w:val="en-US" w:eastAsia="zh-CN"/>
        </w:rPr>
      </w:pPr>
      <w:bookmarkStart w:id="89" w:name="_Toc15869"/>
      <w:r>
        <w:rPr>
          <w:rFonts w:hint="eastAsia"/>
          <w:lang w:val="en-US" w:eastAsia="zh-CN"/>
        </w:rPr>
        <w:t>功能要求</w:t>
      </w:r>
      <w:bookmarkEnd w:id="89"/>
    </w:p>
    <w:p w14:paraId="53A12F68">
      <w:pPr>
        <w:pStyle w:val="17"/>
        <w:rPr>
          <w:rFonts w:hint="eastAsia"/>
          <w:lang w:val="en-US" w:eastAsia="zh-CN"/>
        </w:rPr>
      </w:pPr>
      <w:r>
        <w:rPr>
          <w:rFonts w:hint="eastAsia"/>
          <w:lang w:val="en-US" w:eastAsia="zh-CN"/>
        </w:rPr>
        <w:t>数据交易服务平台（以下简称“平台”）包括用户管理、交易管理,平台管理、开发测试环境(扩展要求)和基础技术支撑等功能，各功能的设计应符合GB/T 37728-2019的要求。</w:t>
      </w:r>
    </w:p>
    <w:p w14:paraId="35411BAB">
      <w:pPr>
        <w:pStyle w:val="16"/>
        <w:bidi w:val="0"/>
        <w:rPr>
          <w:rFonts w:hint="eastAsia"/>
          <w:lang w:val="en-US" w:eastAsia="zh-CN"/>
        </w:rPr>
      </w:pPr>
      <w:bookmarkStart w:id="90" w:name="_Toc21262"/>
      <w:r>
        <w:rPr>
          <w:rFonts w:hint="eastAsia"/>
          <w:lang w:val="en-US" w:eastAsia="zh-CN"/>
        </w:rPr>
        <w:t>平台服务框架</w:t>
      </w:r>
      <w:bookmarkEnd w:id="90"/>
    </w:p>
    <w:p w14:paraId="7683FD61">
      <w:pPr>
        <w:pStyle w:val="17"/>
        <w:rPr>
          <w:rFonts w:hint="default"/>
          <w:lang w:val="en-US" w:eastAsia="zh-CN"/>
        </w:rPr>
      </w:pPr>
      <w:r>
        <w:rPr>
          <w:rFonts w:hint="eastAsia"/>
          <w:lang w:val="en-US" w:eastAsia="zh-CN"/>
        </w:rPr>
        <w:t>平台根据数据需方发送的服务需求做相应处理，由数据供方提供服务，平台将请求结果反馈给数据需方。平台的交易服务框架如图1所示。</w:t>
      </w:r>
    </w:p>
    <w:p w14:paraId="2B03A3DC">
      <w:pPr>
        <w:pStyle w:val="17"/>
        <w:ind w:left="0" w:leftChars="0" w:firstLine="0" w:firstLineChars="0"/>
        <w:jc w:val="center"/>
        <w:rPr>
          <w:rFonts w:hint="default"/>
          <w:lang w:val="en-US" w:eastAsia="zh-CN"/>
        </w:rPr>
      </w:pPr>
      <w:r>
        <w:rPr>
          <w:rFonts w:hint="default"/>
          <w:lang w:val="en-US" w:eastAsia="zh-CN"/>
        </w:rPr>
        <w:drawing>
          <wp:inline distT="0" distB="0" distL="114300" distR="114300">
            <wp:extent cx="3649980" cy="1284605"/>
            <wp:effectExtent l="0" t="0" r="7620" b="10795"/>
            <wp:docPr id="2" name="图片 2" descr="平台服务框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平台服务框架"/>
                    <pic:cNvPicPr>
                      <a:picLocks noChangeAspect="1"/>
                    </pic:cNvPicPr>
                  </pic:nvPicPr>
                  <pic:blipFill>
                    <a:blip r:embed="rId19"/>
                    <a:srcRect t="4414" b="4547"/>
                    <a:stretch>
                      <a:fillRect/>
                    </a:stretch>
                  </pic:blipFill>
                  <pic:spPr>
                    <a:xfrm>
                      <a:off x="0" y="0"/>
                      <a:ext cx="3649980" cy="1284605"/>
                    </a:xfrm>
                    <a:prstGeom prst="rect">
                      <a:avLst/>
                    </a:prstGeom>
                    <a:noFill/>
                    <a:ln>
                      <a:noFill/>
                    </a:ln>
                  </pic:spPr>
                </pic:pic>
              </a:graphicData>
            </a:graphic>
          </wp:inline>
        </w:drawing>
      </w:r>
    </w:p>
    <w:p w14:paraId="383C37C3">
      <w:pPr>
        <w:pStyle w:val="17"/>
        <w:ind w:left="0" w:leftChars="0" w:firstLine="0" w:firstLineChars="0"/>
        <w:jc w:val="center"/>
        <w:rPr>
          <w:rFonts w:hint="default"/>
          <w:lang w:val="en-US" w:eastAsia="zh-CN"/>
        </w:rPr>
      </w:pPr>
      <w:r>
        <w:rPr>
          <w:rFonts w:hint="eastAsia" w:ascii="黑体" w:hAnsi="黑体" w:eastAsia="黑体" w:cs="黑体"/>
          <w:lang w:val="en-US" w:eastAsia="zh-CN"/>
        </w:rPr>
        <w:t>图1  平台交易服务框架</w:t>
      </w:r>
    </w:p>
    <w:p w14:paraId="23C506F6">
      <w:pPr>
        <w:pStyle w:val="16"/>
        <w:bidi w:val="0"/>
        <w:rPr>
          <w:rFonts w:hint="eastAsia"/>
          <w:lang w:val="en-US" w:eastAsia="zh-CN"/>
        </w:rPr>
      </w:pPr>
      <w:bookmarkStart w:id="91" w:name="_Toc22445"/>
      <w:r>
        <w:rPr>
          <w:rFonts w:hint="eastAsia"/>
          <w:lang w:val="en-US" w:eastAsia="zh-CN"/>
        </w:rPr>
        <w:t>平台服务流程</w:t>
      </w:r>
      <w:bookmarkEnd w:id="91"/>
    </w:p>
    <w:p w14:paraId="5BC2DB50">
      <w:pPr>
        <w:pStyle w:val="18"/>
        <w:bidi w:val="0"/>
        <w:rPr>
          <w:rFonts w:hint="default"/>
          <w:lang w:val="en-US" w:eastAsia="zh-CN"/>
        </w:rPr>
      </w:pPr>
      <w:bookmarkStart w:id="92" w:name="_Toc1291"/>
      <w:r>
        <w:rPr>
          <w:rFonts w:hint="eastAsia"/>
          <w:lang w:val="en-US" w:eastAsia="zh-CN"/>
        </w:rPr>
        <w:t>概述</w:t>
      </w:r>
      <w:bookmarkEnd w:id="92"/>
    </w:p>
    <w:p w14:paraId="27B314E8">
      <w:pPr>
        <w:pStyle w:val="17"/>
        <w:rPr>
          <w:rFonts w:hint="eastAsia"/>
          <w:lang w:val="en-US" w:eastAsia="zh-CN"/>
        </w:rPr>
      </w:pPr>
      <w:r>
        <w:rPr>
          <w:rFonts w:hint="eastAsia"/>
          <w:lang w:val="en-US" w:eastAsia="zh-CN"/>
        </w:rPr>
        <w:t>平台交易服务流程见图2。</w:t>
      </w:r>
    </w:p>
    <w:p w14:paraId="71E6DF27">
      <w:pPr>
        <w:pStyle w:val="17"/>
        <w:ind w:left="0" w:leftChars="0" w:firstLine="0" w:firstLineChars="0"/>
        <w:jc w:val="center"/>
        <w:rPr>
          <w:rFonts w:hint="eastAsia" w:ascii="黑体" w:hAnsi="黑体" w:eastAsia="黑体" w:cs="黑体"/>
          <w:lang w:val="en-US" w:eastAsia="zh-CN"/>
        </w:rPr>
      </w:pPr>
      <w:r>
        <w:rPr>
          <w:rFonts w:hint="eastAsia" w:ascii="黑体" w:hAnsi="黑体" w:eastAsia="黑体" w:cs="黑体"/>
          <w:lang w:val="en-US" w:eastAsia="zh-CN"/>
        </w:rPr>
        <w:drawing>
          <wp:inline distT="0" distB="0" distL="114300" distR="114300">
            <wp:extent cx="5264785" cy="621665"/>
            <wp:effectExtent l="0" t="0" r="8255" b="3175"/>
            <wp:docPr id="3" name="图片 3" descr="平台服务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平台服务流程"/>
                    <pic:cNvPicPr>
                      <a:picLocks noChangeAspect="1"/>
                    </pic:cNvPicPr>
                  </pic:nvPicPr>
                  <pic:blipFill>
                    <a:blip r:embed="rId20"/>
                    <a:stretch>
                      <a:fillRect/>
                    </a:stretch>
                  </pic:blipFill>
                  <pic:spPr>
                    <a:xfrm>
                      <a:off x="0" y="0"/>
                      <a:ext cx="5264785" cy="621665"/>
                    </a:xfrm>
                    <a:prstGeom prst="rect">
                      <a:avLst/>
                    </a:prstGeom>
                    <a:noFill/>
                    <a:ln>
                      <a:noFill/>
                    </a:ln>
                  </pic:spPr>
                </pic:pic>
              </a:graphicData>
            </a:graphic>
          </wp:inline>
        </w:drawing>
      </w:r>
    </w:p>
    <w:p w14:paraId="146AB68C">
      <w:pPr>
        <w:pStyle w:val="17"/>
        <w:ind w:left="0" w:leftChars="0" w:firstLine="0" w:firstLineChars="0"/>
        <w:jc w:val="center"/>
        <w:rPr>
          <w:rFonts w:hint="default"/>
          <w:lang w:val="en-US" w:eastAsia="zh-CN"/>
        </w:rPr>
      </w:pPr>
      <w:r>
        <w:rPr>
          <w:rFonts w:hint="eastAsia" w:ascii="黑体" w:hAnsi="黑体" w:eastAsia="黑体" w:cs="黑体"/>
          <w:lang w:val="en-US" w:eastAsia="zh-CN"/>
        </w:rPr>
        <w:t>图2  平台交易服务流程</w:t>
      </w:r>
    </w:p>
    <w:p w14:paraId="72DE0F39">
      <w:pPr>
        <w:pStyle w:val="18"/>
        <w:bidi w:val="0"/>
        <w:rPr>
          <w:rFonts w:hint="eastAsia"/>
          <w:lang w:val="en-US" w:eastAsia="zh-CN"/>
        </w:rPr>
      </w:pPr>
      <w:bookmarkStart w:id="93" w:name="_Toc30514"/>
      <w:r>
        <w:rPr>
          <w:rFonts w:hint="eastAsia"/>
          <w:lang w:val="en-US" w:eastAsia="zh-CN"/>
        </w:rPr>
        <w:t>标的挂牌</w:t>
      </w:r>
      <w:bookmarkEnd w:id="93"/>
    </w:p>
    <w:p w14:paraId="7405537F">
      <w:pPr>
        <w:pStyle w:val="20"/>
        <w:bidi w:val="0"/>
        <w:rPr>
          <w:rFonts w:hint="eastAsia"/>
          <w:lang w:val="en-US" w:eastAsia="zh-CN"/>
        </w:rPr>
      </w:pPr>
      <w:bookmarkStart w:id="94" w:name="_Toc28201"/>
      <w:r>
        <w:rPr>
          <w:rFonts w:hint="eastAsia" w:ascii="宋体" w:hAnsi="宋体" w:eastAsia="宋体" w:cs="宋体"/>
          <w:lang w:val="en-US" w:eastAsia="zh-CN"/>
        </w:rPr>
        <w:t>平台收到数据供方的挂牌申请文件后，对数据合规性、质量、完整性等方面内容进行审核。</w:t>
      </w:r>
      <w:bookmarkEnd w:id="94"/>
    </w:p>
    <w:p w14:paraId="11647F7B">
      <w:pPr>
        <w:pStyle w:val="20"/>
        <w:bidi w:val="0"/>
        <w:rPr>
          <w:rFonts w:hint="eastAsia"/>
          <w:lang w:val="en-US" w:eastAsia="zh-CN"/>
        </w:rPr>
      </w:pPr>
      <w:bookmarkStart w:id="95" w:name="_Toc11374"/>
      <w:r>
        <w:rPr>
          <w:rFonts w:hint="eastAsia" w:ascii="宋体" w:hAnsi="宋体" w:eastAsia="宋体" w:cs="宋体"/>
          <w:lang w:val="en-US" w:eastAsia="zh-CN"/>
        </w:rPr>
        <w:t>审核通过后，平台应与数据供方签署数据挂牌合同或协议，合同内容包括但不限于交易条件、使用权限、保密条款等。</w:t>
      </w:r>
      <w:bookmarkEnd w:id="95"/>
    </w:p>
    <w:p w14:paraId="0DE3E760">
      <w:pPr>
        <w:pStyle w:val="20"/>
        <w:bidi w:val="0"/>
        <w:rPr>
          <w:rFonts w:hint="eastAsia" w:ascii="宋体" w:hAnsi="宋体" w:eastAsia="宋体" w:cs="宋体"/>
          <w:lang w:val="en-US" w:eastAsia="zh-CN"/>
        </w:rPr>
      </w:pPr>
      <w:bookmarkStart w:id="96" w:name="_Toc9677"/>
      <w:r>
        <w:rPr>
          <w:rFonts w:hint="eastAsia" w:ascii="宋体" w:hAnsi="宋体" w:eastAsia="宋体" w:cs="宋体"/>
          <w:lang w:val="en-US" w:eastAsia="zh-CN"/>
        </w:rPr>
        <w:t>合同签署后，平台应将数据供方提供的数据产品上架，并在平台上进行展示，完成标的挂牌。</w:t>
      </w:r>
      <w:bookmarkEnd w:id="96"/>
    </w:p>
    <w:p w14:paraId="0203C677">
      <w:pPr>
        <w:pStyle w:val="20"/>
        <w:bidi w:val="0"/>
        <w:rPr>
          <w:rFonts w:hint="default"/>
          <w:lang w:val="en-US" w:eastAsia="zh-CN"/>
        </w:rPr>
      </w:pPr>
      <w:bookmarkStart w:id="97" w:name="_Toc1050"/>
      <w:r>
        <w:rPr>
          <w:rFonts w:hint="eastAsia" w:ascii="宋体" w:hAnsi="宋体" w:eastAsia="宋体" w:cs="宋体"/>
          <w:lang w:val="en-US" w:eastAsia="zh-CN"/>
        </w:rPr>
        <w:t>标的挂牌后，平台应提供后续交易管理与支持服务。</w:t>
      </w:r>
      <w:bookmarkEnd w:id="97"/>
    </w:p>
    <w:p w14:paraId="5F41E770">
      <w:pPr>
        <w:pStyle w:val="18"/>
        <w:bidi w:val="0"/>
        <w:rPr>
          <w:rFonts w:hint="eastAsia"/>
          <w:lang w:val="en-US" w:eastAsia="zh-CN"/>
        </w:rPr>
      </w:pPr>
      <w:bookmarkStart w:id="98" w:name="_Toc5415"/>
      <w:r>
        <w:rPr>
          <w:rFonts w:hint="eastAsia"/>
          <w:lang w:val="en-US" w:eastAsia="zh-CN"/>
        </w:rPr>
        <w:t>交易磋商</w:t>
      </w:r>
      <w:bookmarkEnd w:id="98"/>
    </w:p>
    <w:p w14:paraId="6B7BF56E">
      <w:pPr>
        <w:pStyle w:val="20"/>
        <w:bidi w:val="0"/>
        <w:rPr>
          <w:rFonts w:hint="eastAsia"/>
          <w:lang w:val="en-US" w:eastAsia="zh-CN"/>
        </w:rPr>
      </w:pPr>
      <w:bookmarkStart w:id="99" w:name="_Toc31890"/>
      <w:r>
        <w:rPr>
          <w:rFonts w:hint="eastAsia" w:ascii="宋体" w:hAnsi="宋体" w:eastAsia="宋体" w:cs="宋体"/>
          <w:lang w:val="en-US" w:eastAsia="zh-CN"/>
        </w:rPr>
        <w:t>平台应根据数据需方的需求、数据供方的条件，自动匹配合适的交易对象，协助双方完成交易结算。</w:t>
      </w:r>
      <w:bookmarkEnd w:id="99"/>
    </w:p>
    <w:p w14:paraId="7B1A1FCE">
      <w:pPr>
        <w:pStyle w:val="20"/>
        <w:bidi w:val="0"/>
        <w:rPr>
          <w:rFonts w:hint="eastAsia"/>
          <w:lang w:val="en-US" w:eastAsia="zh-CN"/>
        </w:rPr>
      </w:pPr>
      <w:bookmarkStart w:id="100" w:name="_Toc23372"/>
      <w:r>
        <w:rPr>
          <w:rFonts w:hint="eastAsia" w:ascii="宋体" w:hAnsi="宋体" w:eastAsia="宋体" w:cs="宋体"/>
          <w:lang w:val="en-US" w:eastAsia="zh-CN"/>
        </w:rPr>
        <w:t>在磋商过程中，平台还应协助供需双方解决纠纷和分歧，确保交易顺利进行。</w:t>
      </w:r>
      <w:bookmarkEnd w:id="100"/>
    </w:p>
    <w:p w14:paraId="0A43E612">
      <w:pPr>
        <w:pStyle w:val="18"/>
        <w:bidi w:val="0"/>
        <w:rPr>
          <w:rFonts w:hint="eastAsia"/>
          <w:lang w:val="en-US" w:eastAsia="zh-CN"/>
        </w:rPr>
      </w:pPr>
      <w:bookmarkStart w:id="101" w:name="_Toc4635"/>
      <w:r>
        <w:rPr>
          <w:rFonts w:hint="eastAsia"/>
          <w:lang w:val="en-US" w:eastAsia="zh-CN"/>
        </w:rPr>
        <w:t>合规评估</w:t>
      </w:r>
      <w:bookmarkEnd w:id="101"/>
    </w:p>
    <w:p w14:paraId="4F9A770A">
      <w:pPr>
        <w:pStyle w:val="17"/>
        <w:rPr>
          <w:rFonts w:hint="eastAsia"/>
          <w:lang w:val="en-US" w:eastAsia="zh-CN"/>
        </w:rPr>
      </w:pPr>
      <w:r>
        <w:rPr>
          <w:rFonts w:hint="eastAsia"/>
          <w:lang w:val="en-US" w:eastAsia="zh-CN"/>
        </w:rPr>
        <w:t>在合规评估阶段，平台应符合DB21/T 3894-2023中7.3的服务要求。</w:t>
      </w:r>
    </w:p>
    <w:p w14:paraId="13FAA6C1">
      <w:pPr>
        <w:pStyle w:val="18"/>
        <w:bidi w:val="0"/>
        <w:rPr>
          <w:rFonts w:hint="eastAsia"/>
          <w:lang w:val="en-US" w:eastAsia="zh-CN"/>
        </w:rPr>
      </w:pPr>
      <w:bookmarkStart w:id="102" w:name="_Toc32489"/>
      <w:r>
        <w:rPr>
          <w:rFonts w:hint="eastAsia"/>
          <w:lang w:val="en-US" w:eastAsia="zh-CN"/>
        </w:rPr>
        <w:t>数据交付</w:t>
      </w:r>
      <w:bookmarkEnd w:id="102"/>
    </w:p>
    <w:p w14:paraId="4E4D7FD6">
      <w:pPr>
        <w:pStyle w:val="20"/>
        <w:keepNext w:val="0"/>
        <w:keepLines w:val="0"/>
        <w:pageBreakBefore w:val="0"/>
        <w:widowControl/>
        <w:kinsoku/>
        <w:wordWrap/>
        <w:overflowPunct/>
        <w:topLinePunct w:val="0"/>
        <w:autoSpaceDE/>
        <w:autoSpaceDN/>
        <w:bidi w:val="0"/>
        <w:adjustRightInd/>
        <w:snapToGrid/>
        <w:spacing w:after="0" w:afterLines="0"/>
        <w:textAlignment w:val="auto"/>
        <w:rPr>
          <w:rFonts w:hint="eastAsia"/>
          <w:lang w:val="en-US" w:eastAsia="zh-CN"/>
        </w:rPr>
      </w:pPr>
      <w:bookmarkStart w:id="103" w:name="_Toc9793"/>
      <w:r>
        <w:rPr>
          <w:rFonts w:hint="eastAsia" w:ascii="宋体" w:hAnsi="宋体" w:eastAsia="宋体" w:cs="宋体"/>
          <w:lang w:val="en-US" w:eastAsia="zh-CN"/>
        </w:rPr>
        <w:t>在供需双方确认交易后，平台应协调供需双方之间签订数据交易合同。合同中应明确以下内容：</w:t>
      </w:r>
      <w:bookmarkEnd w:id="103"/>
    </w:p>
    <w:p w14:paraId="4E88E260">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数据种类;</w:t>
      </w:r>
    </w:p>
    <w:p w14:paraId="225B0588">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数据数量；</w:t>
      </w:r>
    </w:p>
    <w:p w14:paraId="6DE9D1C6">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数据价格；</w:t>
      </w:r>
    </w:p>
    <w:p w14:paraId="347D3E2F">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交付方式；</w:t>
      </w:r>
    </w:p>
    <w:p w14:paraId="31B7169E">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保密条款；</w:t>
      </w:r>
    </w:p>
    <w:p w14:paraId="2563188D">
      <w:pPr>
        <w:keepNext w:val="0"/>
        <w:keepLines w:val="0"/>
        <w:pageBreakBefore w:val="0"/>
        <w:widowControl w:val="0"/>
        <w:numPr>
          <w:ilvl w:val="0"/>
          <w:numId w:val="5"/>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其他条款。</w:t>
      </w:r>
    </w:p>
    <w:p w14:paraId="4B641A55">
      <w:pPr>
        <w:pStyle w:val="20"/>
        <w:keepNext w:val="0"/>
        <w:keepLines w:val="0"/>
        <w:pageBreakBefore w:val="0"/>
        <w:widowControl/>
        <w:kinsoku/>
        <w:wordWrap/>
        <w:overflowPunct/>
        <w:topLinePunct w:val="0"/>
        <w:autoSpaceDE/>
        <w:autoSpaceDN/>
        <w:bidi w:val="0"/>
        <w:adjustRightInd/>
        <w:snapToGrid/>
        <w:spacing w:after="0" w:afterLines="0"/>
        <w:textAlignment w:val="auto"/>
        <w:rPr>
          <w:rFonts w:hint="eastAsia" w:ascii="宋体" w:hAnsi="宋体" w:eastAsia="宋体" w:cs="宋体"/>
          <w:lang w:val="en-US" w:eastAsia="zh-CN"/>
        </w:rPr>
      </w:pPr>
      <w:bookmarkStart w:id="104" w:name="_Toc17055"/>
      <w:r>
        <w:rPr>
          <w:rFonts w:hint="eastAsia" w:ascii="宋体" w:hAnsi="宋体" w:eastAsia="宋体" w:cs="宋体"/>
          <w:lang w:val="en-US" w:eastAsia="zh-CN"/>
        </w:rPr>
        <w:t>在合同签订后，平台应提供安全的数据传输渠道，按照合同约定的方式和时间，将数据供方提供的数据传输给数据需方。</w:t>
      </w:r>
      <w:bookmarkEnd w:id="104"/>
    </w:p>
    <w:p w14:paraId="025DCFD9">
      <w:pPr>
        <w:pStyle w:val="20"/>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360" w:firstLineChars="200"/>
        <w:textAlignment w:val="auto"/>
        <w:rPr>
          <w:rFonts w:hint="eastAsia"/>
          <w:lang w:val="en-US" w:eastAsia="zh-CN"/>
        </w:rPr>
      </w:pPr>
      <w:bookmarkStart w:id="105" w:name="_Toc25409"/>
      <w:r>
        <w:rPr>
          <w:rFonts w:hint="eastAsia" w:ascii="黑体" w:hAnsi="黑体" w:eastAsia="黑体" w:cs="黑体"/>
          <w:sz w:val="18"/>
          <w:szCs w:val="18"/>
          <w:lang w:val="en-US" w:eastAsia="zh-CN"/>
        </w:rPr>
        <w:t>注：</w:t>
      </w:r>
      <w:r>
        <w:rPr>
          <w:rFonts w:hint="eastAsia" w:ascii="宋体" w:hAnsi="宋体" w:eastAsia="宋体" w:cs="宋体"/>
          <w:sz w:val="18"/>
          <w:szCs w:val="18"/>
          <w:lang w:val="en-US" w:eastAsia="zh-CN"/>
        </w:rPr>
        <w:t>数据交付的形式包括但不限于直接的数据文件传输、API接口提供等。</w:t>
      </w:r>
      <w:bookmarkEnd w:id="105"/>
    </w:p>
    <w:p w14:paraId="12273FD9">
      <w:pPr>
        <w:pStyle w:val="18"/>
        <w:bidi w:val="0"/>
        <w:rPr>
          <w:rFonts w:hint="eastAsia"/>
          <w:lang w:val="en-US" w:eastAsia="zh-CN"/>
        </w:rPr>
      </w:pPr>
      <w:bookmarkStart w:id="106" w:name="_Toc22870"/>
      <w:r>
        <w:rPr>
          <w:rFonts w:hint="eastAsia"/>
          <w:lang w:val="en-US" w:eastAsia="zh-CN"/>
        </w:rPr>
        <w:t>支付清算</w:t>
      </w:r>
      <w:bookmarkEnd w:id="106"/>
    </w:p>
    <w:p w14:paraId="4AD91BAB">
      <w:pPr>
        <w:pStyle w:val="20"/>
        <w:bidi w:val="0"/>
        <w:rPr>
          <w:rFonts w:hint="eastAsia" w:ascii="宋体" w:hAnsi="宋体" w:eastAsia="宋体" w:cs="宋体"/>
          <w:lang w:val="en-US" w:eastAsia="zh-CN"/>
        </w:rPr>
      </w:pPr>
      <w:bookmarkStart w:id="107" w:name="_Toc919"/>
      <w:r>
        <w:rPr>
          <w:rFonts w:hint="eastAsia" w:ascii="宋体" w:hAnsi="宋体" w:eastAsia="宋体" w:cs="宋体"/>
          <w:lang w:val="en-US" w:eastAsia="zh-CN"/>
        </w:rPr>
        <w:t>数据需方支付后，平台应将资金存入平台指定的账户或选择其他支付方式进行资金托管，平台应确保这些资金在交易完成前处于安全状态。</w:t>
      </w:r>
      <w:bookmarkEnd w:id="107"/>
    </w:p>
    <w:p w14:paraId="65C56988">
      <w:pPr>
        <w:pStyle w:val="20"/>
        <w:keepNext w:val="0"/>
        <w:keepLines w:val="0"/>
        <w:pageBreakBefore w:val="0"/>
        <w:widowControl/>
        <w:kinsoku/>
        <w:wordWrap/>
        <w:overflowPunct/>
        <w:topLinePunct w:val="0"/>
        <w:autoSpaceDE/>
        <w:autoSpaceDN/>
        <w:bidi w:val="0"/>
        <w:adjustRightInd/>
        <w:snapToGrid/>
        <w:spacing w:after="0" w:afterLines="0"/>
        <w:textAlignment w:val="auto"/>
        <w:rPr>
          <w:rFonts w:hint="eastAsia" w:ascii="宋体" w:hAnsi="宋体" w:eastAsia="宋体" w:cs="宋体"/>
          <w:lang w:val="en-US" w:eastAsia="zh-CN"/>
        </w:rPr>
      </w:pPr>
      <w:bookmarkStart w:id="108" w:name="_Toc25091"/>
      <w:r>
        <w:rPr>
          <w:rFonts w:hint="eastAsia" w:ascii="宋体" w:hAnsi="宋体" w:eastAsia="宋体" w:cs="宋体"/>
          <w:lang w:val="en-US" w:eastAsia="zh-CN"/>
        </w:rPr>
        <w:t>交易完成后，平台应进行清算和结算操作：</w:t>
      </w:r>
      <w:bookmarkEnd w:id="108"/>
    </w:p>
    <w:p w14:paraId="31FBFD2E">
      <w:pPr>
        <w:pStyle w:val="17"/>
        <w:numPr>
          <w:ilvl w:val="0"/>
          <w:numId w:val="6"/>
        </w:numPr>
        <w:rPr>
          <w:rFonts w:hint="eastAsia"/>
          <w:lang w:val="en-US" w:eastAsia="zh-CN"/>
        </w:rPr>
      </w:pPr>
      <w:r>
        <w:rPr>
          <w:rFonts w:hint="eastAsia"/>
          <w:lang w:val="en-US" w:eastAsia="zh-CN"/>
        </w:rPr>
        <w:t>清算：对供需双方的资金进行核对和确认，确保支付金额与合同金额一致；</w:t>
      </w:r>
    </w:p>
    <w:p w14:paraId="04B9E843">
      <w:pPr>
        <w:pStyle w:val="17"/>
        <w:numPr>
          <w:ilvl w:val="0"/>
          <w:numId w:val="6"/>
        </w:numPr>
        <w:rPr>
          <w:rFonts w:hint="eastAsia"/>
          <w:lang w:val="en-US" w:eastAsia="zh-CN"/>
        </w:rPr>
      </w:pPr>
      <w:r>
        <w:rPr>
          <w:rFonts w:hint="eastAsia"/>
          <w:lang w:val="en-US" w:eastAsia="zh-CN"/>
        </w:rPr>
        <w:t>结算：将清算后的资金转入数据供方账户，完成交易的资金转移。</w:t>
      </w:r>
    </w:p>
    <w:p w14:paraId="03DA6010">
      <w:pPr>
        <w:pStyle w:val="20"/>
        <w:bidi w:val="0"/>
        <w:rPr>
          <w:rFonts w:hint="eastAsia" w:ascii="宋体" w:hAnsi="宋体" w:eastAsia="宋体" w:cs="宋体"/>
          <w:lang w:val="en-US" w:eastAsia="zh-CN"/>
        </w:rPr>
      </w:pPr>
      <w:bookmarkStart w:id="109" w:name="_Toc26408"/>
      <w:r>
        <w:rPr>
          <w:rFonts w:hint="eastAsia" w:ascii="宋体" w:hAnsi="宋体" w:eastAsia="宋体" w:cs="宋体"/>
          <w:lang w:val="en-US" w:eastAsia="zh-CN"/>
        </w:rPr>
        <w:t>结算完成后，平台应保存支付相关信息。</w:t>
      </w:r>
      <w:bookmarkEnd w:id="109"/>
    </w:p>
    <w:p w14:paraId="762A8C02">
      <w:pPr>
        <w:pStyle w:val="18"/>
        <w:bidi w:val="0"/>
        <w:rPr>
          <w:rFonts w:hint="default"/>
          <w:lang w:val="en-US" w:eastAsia="zh-CN"/>
        </w:rPr>
      </w:pPr>
      <w:bookmarkStart w:id="110" w:name="_Toc3758"/>
      <w:r>
        <w:rPr>
          <w:rFonts w:hint="eastAsia"/>
          <w:lang w:val="en-US" w:eastAsia="zh-CN"/>
        </w:rPr>
        <w:t>售后服务</w:t>
      </w:r>
      <w:bookmarkEnd w:id="110"/>
    </w:p>
    <w:p w14:paraId="2201F8F1">
      <w:pPr>
        <w:pStyle w:val="17"/>
        <w:rPr>
          <w:rFonts w:hint="eastAsia"/>
          <w:lang w:val="en-US" w:eastAsia="zh-CN"/>
        </w:rPr>
      </w:pPr>
      <w:r>
        <w:rPr>
          <w:rFonts w:hint="eastAsia"/>
          <w:lang w:val="en-US" w:eastAsia="zh-CN"/>
        </w:rPr>
        <w:t>在交易完成后，如果数据需方提出售后申请，平台应审核并确定问题原因，提供售后方案，并协商双方解决方案。双方达成一致后，按照方案执行，平台应跟踪整个售后过程。</w:t>
      </w:r>
    </w:p>
    <w:p w14:paraId="3751E227">
      <w:pPr>
        <w:pStyle w:val="17"/>
        <w:rPr>
          <w:rFonts w:hint="default"/>
          <w:lang w:val="en-US" w:eastAsia="zh-CN"/>
        </w:rPr>
      </w:pPr>
      <w:r>
        <w:rPr>
          <w:rFonts w:hint="eastAsia"/>
          <w:lang w:val="en-US" w:eastAsia="zh-CN"/>
        </w:rPr>
        <w:t>如果供需双方有投诉，平台应对投诉申请进行审核并给出反馈结果，平台应支持投诉记录和投诉反馈结果的查询和追溯。</w:t>
      </w:r>
    </w:p>
    <w:p w14:paraId="669AC21E">
      <w:pPr>
        <w:pStyle w:val="16"/>
        <w:bidi w:val="0"/>
        <w:rPr>
          <w:rFonts w:hint="eastAsia"/>
          <w:lang w:val="en-US" w:eastAsia="zh-CN"/>
        </w:rPr>
      </w:pPr>
      <w:bookmarkStart w:id="111" w:name="_Toc27303"/>
      <w:r>
        <w:rPr>
          <w:rFonts w:hint="eastAsia"/>
          <w:lang w:val="en-US" w:eastAsia="zh-CN"/>
        </w:rPr>
        <w:t>平台服务要求</w:t>
      </w:r>
      <w:bookmarkEnd w:id="111"/>
    </w:p>
    <w:p w14:paraId="5327DACD">
      <w:pPr>
        <w:pStyle w:val="18"/>
        <w:bidi w:val="0"/>
        <w:rPr>
          <w:rFonts w:hint="eastAsia"/>
          <w:lang w:val="en-US" w:eastAsia="zh-CN"/>
        </w:rPr>
      </w:pPr>
      <w:bookmarkStart w:id="112" w:name="_Toc14540"/>
      <w:r>
        <w:rPr>
          <w:rFonts w:hint="eastAsia"/>
          <w:lang w:val="en-US" w:eastAsia="zh-CN"/>
        </w:rPr>
        <w:t>信息服务要求</w:t>
      </w:r>
      <w:bookmarkEnd w:id="112"/>
    </w:p>
    <w:p w14:paraId="5AD48AB8">
      <w:pPr>
        <w:pStyle w:val="20"/>
        <w:bidi w:val="0"/>
        <w:rPr>
          <w:rFonts w:hint="eastAsia"/>
          <w:lang w:val="en-US" w:eastAsia="zh-CN"/>
        </w:rPr>
      </w:pPr>
      <w:bookmarkStart w:id="113" w:name="_Toc23325"/>
      <w:r>
        <w:rPr>
          <w:rFonts w:hint="eastAsia"/>
          <w:lang w:val="en-US" w:eastAsia="zh-CN"/>
        </w:rPr>
        <w:t>安全要求</w:t>
      </w:r>
      <w:bookmarkEnd w:id="113"/>
    </w:p>
    <w:p w14:paraId="7A1FFBF4">
      <w:pPr>
        <w:pStyle w:val="22"/>
        <w:bidi w:val="0"/>
        <w:rPr>
          <w:rFonts w:hint="eastAsia"/>
          <w:lang w:val="en-US" w:eastAsia="zh-CN"/>
        </w:rPr>
      </w:pPr>
      <w:r>
        <w:rPr>
          <w:rFonts w:hint="eastAsia" w:ascii="宋体" w:hAnsi="宋体" w:eastAsia="宋体" w:cs="宋体"/>
          <w:lang w:val="en-US" w:eastAsia="zh-CN"/>
        </w:rPr>
        <w:t>平台安全应符合GB/T 37932-2019的相关要求，保障平台经营全过程的信息安全。</w:t>
      </w:r>
    </w:p>
    <w:p w14:paraId="3E3A1AE9">
      <w:pPr>
        <w:pStyle w:val="22"/>
        <w:bidi w:val="0"/>
        <w:rPr>
          <w:rFonts w:hint="eastAsia"/>
          <w:lang w:val="en-US" w:eastAsia="zh-CN"/>
        </w:rPr>
      </w:pPr>
      <w:r>
        <w:rPr>
          <w:rFonts w:hint="eastAsia" w:ascii="宋体" w:hAnsi="宋体" w:eastAsia="宋体" w:cs="宋体"/>
          <w:lang w:val="en-US" w:eastAsia="zh-CN"/>
        </w:rPr>
        <w:t>交易过程中，平台应对交易数据和交易双方信息进行加密处理，保障交易安全。</w:t>
      </w:r>
    </w:p>
    <w:p w14:paraId="2487B73E">
      <w:pPr>
        <w:pStyle w:val="22"/>
        <w:bidi w:val="0"/>
        <w:rPr>
          <w:rFonts w:hint="eastAsia" w:ascii="宋体" w:hAnsi="宋体" w:eastAsia="宋体" w:cs="宋体"/>
          <w:lang w:val="en-US" w:eastAsia="zh-CN"/>
        </w:rPr>
      </w:pPr>
      <w:r>
        <w:rPr>
          <w:rStyle w:val="23"/>
          <w:rFonts w:hint="eastAsia" w:ascii="宋体" w:hAnsi="宋体" w:eastAsia="宋体" w:cs="宋体"/>
          <w:lang w:val="en-US" w:eastAsia="zh-CN"/>
        </w:rPr>
        <w:t>交易完成后，平台应保证交易信息和交易双方信息不外泄。</w:t>
      </w:r>
    </w:p>
    <w:p w14:paraId="37A534A2">
      <w:pPr>
        <w:pStyle w:val="20"/>
        <w:bidi w:val="0"/>
        <w:rPr>
          <w:rFonts w:hint="eastAsia"/>
          <w:lang w:val="en-US" w:eastAsia="zh-CN"/>
        </w:rPr>
      </w:pPr>
      <w:bookmarkStart w:id="114" w:name="_Toc29979"/>
      <w:r>
        <w:rPr>
          <w:rFonts w:hint="eastAsia"/>
          <w:lang w:val="en-US" w:eastAsia="zh-CN"/>
        </w:rPr>
        <w:t>存储及可追溯性要求</w:t>
      </w:r>
      <w:bookmarkEnd w:id="114"/>
    </w:p>
    <w:p w14:paraId="4A9025A5">
      <w:pPr>
        <w:pStyle w:val="22"/>
        <w:bidi w:val="0"/>
        <w:rPr>
          <w:rFonts w:hint="eastAsia" w:ascii="宋体" w:hAnsi="宋体" w:eastAsia="宋体" w:cs="宋体"/>
          <w:lang w:val="en-US" w:eastAsia="zh-CN"/>
        </w:rPr>
      </w:pPr>
      <w:r>
        <w:rPr>
          <w:rFonts w:hint="eastAsia" w:ascii="宋体" w:hAnsi="宋体" w:eastAsia="宋体" w:cs="宋体"/>
          <w:lang w:val="en-US" w:eastAsia="zh-CN"/>
        </w:rPr>
        <w:t>交易双方信息的保存时间自其最后一次登录之日起不少于三年。</w:t>
      </w:r>
    </w:p>
    <w:p w14:paraId="7F07ED0B">
      <w:pPr>
        <w:pStyle w:val="22"/>
        <w:bidi w:val="0"/>
        <w:rPr>
          <w:rFonts w:hint="eastAsia"/>
          <w:lang w:val="en-US" w:eastAsia="zh-CN"/>
        </w:rPr>
      </w:pPr>
      <w:r>
        <w:rPr>
          <w:rFonts w:hint="eastAsia" w:ascii="宋体" w:hAnsi="宋体" w:eastAsia="宋体" w:cs="宋体"/>
          <w:lang w:val="en-US" w:eastAsia="zh-CN"/>
        </w:rPr>
        <w:t>可查询的交易信息保存时间自交易发生之日起不少于三年</w:t>
      </w:r>
      <w:r>
        <w:rPr>
          <w:rFonts w:hint="eastAsia"/>
          <w:lang w:val="en-US" w:eastAsia="zh-CN"/>
        </w:rPr>
        <w:t>。</w:t>
      </w:r>
    </w:p>
    <w:p w14:paraId="48723299">
      <w:pPr>
        <w:pStyle w:val="22"/>
        <w:bidi w:val="0"/>
        <w:rPr>
          <w:rFonts w:hint="eastAsia" w:ascii="宋体" w:hAnsi="宋体" w:eastAsia="宋体" w:cs="宋体"/>
          <w:lang w:val="en-US" w:eastAsia="zh-CN"/>
        </w:rPr>
      </w:pPr>
      <w:r>
        <w:rPr>
          <w:rFonts w:hint="eastAsia" w:ascii="宋体" w:hAnsi="宋体" w:eastAsia="宋体" w:cs="宋体"/>
          <w:lang w:val="en-US" w:eastAsia="zh-CN"/>
        </w:rPr>
        <w:t>平台应保留交易环节所有信息记录，并保证信息在存储期内供交易双方随时查询。</w:t>
      </w:r>
    </w:p>
    <w:p w14:paraId="468899D4">
      <w:pPr>
        <w:pStyle w:val="22"/>
        <w:bidi w:val="0"/>
        <w:rPr>
          <w:rFonts w:hint="eastAsia"/>
          <w:lang w:val="en-US" w:eastAsia="zh-CN"/>
        </w:rPr>
      </w:pPr>
      <w:r>
        <w:rPr>
          <w:rFonts w:hint="eastAsia" w:ascii="宋体" w:hAnsi="宋体" w:eastAsia="宋体" w:cs="宋体"/>
          <w:lang w:val="en-US" w:eastAsia="zh-CN"/>
        </w:rPr>
        <w:t>交易双方有权在保存期限内自助查询、下载或打印交易信息记录。</w:t>
      </w:r>
    </w:p>
    <w:p w14:paraId="55B2A18D">
      <w:pPr>
        <w:pStyle w:val="20"/>
        <w:bidi w:val="0"/>
        <w:rPr>
          <w:rFonts w:hint="eastAsia"/>
          <w:lang w:val="en-US" w:eastAsia="zh-CN"/>
        </w:rPr>
      </w:pPr>
      <w:bookmarkStart w:id="115" w:name="_Toc28352"/>
      <w:r>
        <w:rPr>
          <w:rFonts w:hint="eastAsia"/>
          <w:lang w:val="en-US" w:eastAsia="zh-CN"/>
        </w:rPr>
        <w:t>维护服务</w:t>
      </w:r>
      <w:bookmarkEnd w:id="115"/>
    </w:p>
    <w:p w14:paraId="6E7C99C7">
      <w:pPr>
        <w:bidi w:val="0"/>
        <w:ind w:firstLine="420" w:firstLineChars="200"/>
        <w:rPr>
          <w:rFonts w:hint="eastAsia"/>
          <w:lang w:val="en-US" w:eastAsia="zh-CN"/>
        </w:rPr>
      </w:pPr>
      <w:r>
        <w:rPr>
          <w:rFonts w:hint="eastAsia"/>
          <w:lang w:val="en-US" w:eastAsia="zh-CN"/>
        </w:rPr>
        <w:t>平台为交易双方提供数据流转、管理等相关的服务。</w:t>
      </w:r>
    </w:p>
    <w:p w14:paraId="5CE14F98">
      <w:pPr>
        <w:pStyle w:val="18"/>
        <w:bidi w:val="0"/>
        <w:rPr>
          <w:rFonts w:hint="eastAsia"/>
          <w:lang w:val="en-US" w:eastAsia="zh-CN"/>
        </w:rPr>
      </w:pPr>
      <w:bookmarkStart w:id="116" w:name="_Toc2978"/>
      <w:r>
        <w:rPr>
          <w:rFonts w:hint="eastAsia"/>
          <w:lang w:val="en-US" w:eastAsia="zh-CN"/>
        </w:rPr>
        <w:t>交易服务要求</w:t>
      </w:r>
      <w:bookmarkEnd w:id="116"/>
    </w:p>
    <w:p w14:paraId="502A2820">
      <w:pPr>
        <w:pStyle w:val="20"/>
        <w:bidi w:val="0"/>
        <w:rPr>
          <w:rFonts w:hint="eastAsia"/>
          <w:lang w:val="en-US" w:eastAsia="zh-CN"/>
        </w:rPr>
      </w:pPr>
      <w:bookmarkStart w:id="117" w:name="_Toc13696"/>
      <w:r>
        <w:rPr>
          <w:rFonts w:hint="eastAsia"/>
          <w:lang w:val="en-US" w:eastAsia="zh-CN"/>
        </w:rPr>
        <w:t>推广服务要求</w:t>
      </w:r>
      <w:bookmarkEnd w:id="117"/>
    </w:p>
    <w:p w14:paraId="0BD29A06">
      <w:pPr>
        <w:bidi w:val="0"/>
        <w:ind w:firstLine="420" w:firstLineChars="200"/>
        <w:rPr>
          <w:rFonts w:hint="eastAsia"/>
          <w:lang w:val="en-US" w:eastAsia="zh-CN"/>
        </w:rPr>
      </w:pPr>
      <w:r>
        <w:rPr>
          <w:rFonts w:hint="eastAsia"/>
          <w:lang w:val="en-US" w:eastAsia="zh-CN"/>
        </w:rPr>
        <w:t>平台应为数据供方提供网络推广服务和广告发布服务。</w:t>
      </w:r>
    </w:p>
    <w:p w14:paraId="7CF7C8FA">
      <w:pPr>
        <w:pStyle w:val="20"/>
        <w:bidi w:val="0"/>
        <w:rPr>
          <w:rFonts w:hint="default"/>
          <w:lang w:val="en-US" w:eastAsia="zh-CN"/>
        </w:rPr>
      </w:pPr>
      <w:bookmarkStart w:id="118" w:name="_Toc7306"/>
      <w:r>
        <w:rPr>
          <w:rFonts w:hint="eastAsia"/>
          <w:lang w:val="en-US" w:eastAsia="zh-CN"/>
        </w:rPr>
        <w:t>需求服务要求</w:t>
      </w:r>
      <w:bookmarkEnd w:id="118"/>
    </w:p>
    <w:p w14:paraId="54B60F6A">
      <w:pPr>
        <w:pStyle w:val="17"/>
        <w:rPr>
          <w:rFonts w:hint="default"/>
          <w:lang w:val="en-US" w:eastAsia="zh-CN"/>
        </w:rPr>
      </w:pPr>
      <w:r>
        <w:rPr>
          <w:rFonts w:hint="eastAsia"/>
          <w:lang w:val="en-US" w:eastAsia="zh-CN"/>
        </w:rPr>
        <w:t>平台应为数据需方提供数据查询和数据推荐服务。</w:t>
      </w:r>
    </w:p>
    <w:p w14:paraId="76C779FF">
      <w:pPr>
        <w:pStyle w:val="20"/>
        <w:bidi w:val="0"/>
        <w:rPr>
          <w:rFonts w:hint="eastAsia"/>
          <w:lang w:val="en-US" w:eastAsia="zh-CN"/>
        </w:rPr>
      </w:pPr>
      <w:bookmarkStart w:id="119" w:name="_Toc18159"/>
      <w:r>
        <w:rPr>
          <w:rFonts w:hint="eastAsia"/>
          <w:lang w:val="en-US" w:eastAsia="zh-CN"/>
        </w:rPr>
        <w:t>信息发布服务要求</w:t>
      </w:r>
      <w:bookmarkEnd w:id="119"/>
    </w:p>
    <w:p w14:paraId="685C090B">
      <w:pPr>
        <w:pStyle w:val="17"/>
        <w:rPr>
          <w:rFonts w:hint="eastAsia"/>
          <w:lang w:val="en-US" w:eastAsia="zh-CN"/>
        </w:rPr>
      </w:pPr>
      <w:r>
        <w:rPr>
          <w:rFonts w:hint="eastAsia"/>
          <w:lang w:val="en-US" w:eastAsia="zh-CN"/>
        </w:rPr>
        <w:t>平台应为数据供方发布数据的真实性、时效性提供必要的审查和支持。</w:t>
      </w:r>
    </w:p>
    <w:p w14:paraId="32692641">
      <w:pPr>
        <w:pStyle w:val="20"/>
        <w:bidi w:val="0"/>
        <w:rPr>
          <w:rFonts w:hint="eastAsia"/>
          <w:lang w:val="en-US" w:eastAsia="zh-CN"/>
        </w:rPr>
      </w:pPr>
      <w:bookmarkStart w:id="120" w:name="_Toc16617"/>
      <w:r>
        <w:rPr>
          <w:rFonts w:hint="eastAsia"/>
          <w:lang w:val="en-US" w:eastAsia="zh-CN"/>
        </w:rPr>
        <w:t>沟通服务要求</w:t>
      </w:r>
      <w:bookmarkEnd w:id="120"/>
    </w:p>
    <w:p w14:paraId="3ECE5561">
      <w:pPr>
        <w:pStyle w:val="17"/>
        <w:rPr>
          <w:rFonts w:hint="eastAsia"/>
          <w:lang w:val="en-US" w:eastAsia="zh-CN"/>
        </w:rPr>
      </w:pPr>
      <w:r>
        <w:rPr>
          <w:rFonts w:hint="eastAsia"/>
          <w:lang w:val="en-US" w:eastAsia="zh-CN"/>
        </w:rPr>
        <w:t>平台应</w:t>
      </w:r>
      <w:r>
        <w:rPr>
          <w:rFonts w:hint="default"/>
          <w:lang w:val="en-US" w:eastAsia="zh-CN"/>
        </w:rPr>
        <w:t>提供在线聊天、邮件、电话等多种沟通方式</w:t>
      </w:r>
      <w:r>
        <w:rPr>
          <w:rFonts w:hint="eastAsia"/>
          <w:lang w:val="en-US" w:eastAsia="zh-CN"/>
        </w:rPr>
        <w:t>。</w:t>
      </w:r>
    </w:p>
    <w:p w14:paraId="3E9E7CB6">
      <w:pPr>
        <w:pStyle w:val="20"/>
        <w:bidi w:val="0"/>
        <w:rPr>
          <w:rFonts w:hint="eastAsia"/>
          <w:lang w:val="en-US" w:eastAsia="zh-CN"/>
        </w:rPr>
      </w:pPr>
      <w:bookmarkStart w:id="121" w:name="_Toc24684"/>
      <w:r>
        <w:rPr>
          <w:rFonts w:hint="eastAsia"/>
          <w:lang w:val="en-US" w:eastAsia="zh-CN"/>
        </w:rPr>
        <w:t>购买服务要求</w:t>
      </w:r>
      <w:bookmarkEnd w:id="121"/>
    </w:p>
    <w:p w14:paraId="4972477B">
      <w:pPr>
        <w:pStyle w:val="17"/>
        <w:rPr>
          <w:rFonts w:hint="eastAsia"/>
          <w:lang w:val="en-US" w:eastAsia="zh-CN"/>
        </w:rPr>
      </w:pPr>
      <w:r>
        <w:rPr>
          <w:rFonts w:hint="eastAsia"/>
          <w:lang w:val="en-US" w:eastAsia="zh-CN"/>
        </w:rPr>
        <w:t>平台应提供购买服务，明示购买注意事项，提示交易双方签订正式的交易合同。</w:t>
      </w:r>
    </w:p>
    <w:p w14:paraId="6D003C4E">
      <w:pPr>
        <w:pStyle w:val="20"/>
        <w:bidi w:val="0"/>
        <w:rPr>
          <w:rFonts w:hint="eastAsia"/>
          <w:lang w:val="en-US" w:eastAsia="zh-CN"/>
        </w:rPr>
      </w:pPr>
      <w:bookmarkStart w:id="122" w:name="_Toc11960"/>
      <w:r>
        <w:rPr>
          <w:rFonts w:hint="eastAsia"/>
          <w:lang w:val="en-US" w:eastAsia="zh-CN"/>
        </w:rPr>
        <w:t>支付和资金安全保障服务要求</w:t>
      </w:r>
      <w:bookmarkEnd w:id="122"/>
    </w:p>
    <w:p w14:paraId="20A5A6F9">
      <w:pPr>
        <w:pStyle w:val="22"/>
        <w:bidi w:val="0"/>
        <w:rPr>
          <w:rFonts w:hint="eastAsia" w:ascii="宋体" w:hAnsi="宋体" w:eastAsia="宋体" w:cs="宋体"/>
          <w:lang w:val="en-US" w:eastAsia="zh-CN"/>
        </w:rPr>
      </w:pPr>
      <w:r>
        <w:rPr>
          <w:rFonts w:hint="eastAsia" w:ascii="宋体" w:hAnsi="宋体" w:eastAsia="宋体" w:cs="宋体"/>
          <w:lang w:val="en-US" w:eastAsia="zh-CN"/>
        </w:rPr>
        <w:t>平台应提供多种支付方式支持数据交易，应保障支付过程流畅、安全可靠。</w:t>
      </w:r>
    </w:p>
    <w:p w14:paraId="4587E6FC">
      <w:pPr>
        <w:pStyle w:val="22"/>
        <w:bidi w:val="0"/>
        <w:rPr>
          <w:rFonts w:hint="eastAsia" w:ascii="宋体" w:hAnsi="宋体" w:eastAsia="宋体" w:cs="宋体"/>
          <w:lang w:val="en-US" w:eastAsia="zh-CN"/>
        </w:rPr>
      </w:pPr>
      <w:r>
        <w:rPr>
          <w:rFonts w:hint="eastAsia" w:ascii="宋体" w:hAnsi="宋体" w:eastAsia="宋体" w:cs="宋体"/>
          <w:lang w:val="en-US" w:eastAsia="zh-CN"/>
        </w:rPr>
        <w:t>平台应保留在线交易过程的支付凭证，供交易双方查询、取证。</w:t>
      </w:r>
    </w:p>
    <w:p w14:paraId="64B591CF">
      <w:pPr>
        <w:pStyle w:val="22"/>
        <w:bidi w:val="0"/>
        <w:rPr>
          <w:rFonts w:hint="eastAsia" w:ascii="宋体" w:hAnsi="宋体" w:eastAsia="宋体" w:cs="宋体"/>
          <w:lang w:val="en-US" w:eastAsia="zh-CN"/>
        </w:rPr>
      </w:pPr>
      <w:r>
        <w:rPr>
          <w:rFonts w:hint="eastAsia" w:ascii="宋体" w:hAnsi="宋体" w:eastAsia="宋体" w:cs="宋体"/>
          <w:lang w:val="en-US" w:eastAsia="zh-CN"/>
        </w:rPr>
        <w:t>平台应提供必要的安全措施以确保交易双方的资金安全。</w:t>
      </w:r>
    </w:p>
    <w:p w14:paraId="4BE9708D">
      <w:pPr>
        <w:pStyle w:val="20"/>
        <w:bidi w:val="0"/>
        <w:rPr>
          <w:rFonts w:hint="eastAsia"/>
          <w:lang w:val="en-US" w:eastAsia="zh-CN"/>
        </w:rPr>
      </w:pPr>
      <w:bookmarkStart w:id="123" w:name="_Toc32196"/>
      <w:r>
        <w:rPr>
          <w:rFonts w:hint="eastAsia"/>
          <w:lang w:val="en-US" w:eastAsia="zh-CN"/>
        </w:rPr>
        <w:t>交易管理服务要求</w:t>
      </w:r>
      <w:bookmarkEnd w:id="123"/>
    </w:p>
    <w:p w14:paraId="21B72A8A">
      <w:pPr>
        <w:bidi w:val="0"/>
        <w:ind w:firstLine="420" w:firstLineChars="200"/>
        <w:rPr>
          <w:rStyle w:val="23"/>
          <w:rFonts w:hint="eastAsia"/>
          <w:lang w:val="en-US" w:eastAsia="zh-CN"/>
        </w:rPr>
      </w:pPr>
      <w:r>
        <w:rPr>
          <w:rFonts w:hint="eastAsia"/>
          <w:lang w:val="en-US" w:eastAsia="zh-CN"/>
        </w:rPr>
        <w:t>平台应保留交易的线上信息，供交易双方查询。线下完成的交易，应保留网站流转记录及电话记录。</w:t>
      </w:r>
    </w:p>
    <w:p w14:paraId="45BA9F9F">
      <w:pPr>
        <w:pStyle w:val="18"/>
        <w:bidi w:val="0"/>
        <w:rPr>
          <w:rFonts w:hint="eastAsia"/>
          <w:lang w:val="en-US" w:eastAsia="zh-CN"/>
        </w:rPr>
      </w:pPr>
      <w:bookmarkStart w:id="124" w:name="_Toc24961"/>
      <w:r>
        <w:rPr>
          <w:rFonts w:hint="eastAsia"/>
          <w:lang w:val="en-US" w:eastAsia="zh-CN"/>
        </w:rPr>
        <w:t>售后服务要求</w:t>
      </w:r>
      <w:bookmarkEnd w:id="124"/>
    </w:p>
    <w:p w14:paraId="158B586A">
      <w:pPr>
        <w:pStyle w:val="20"/>
        <w:keepNext w:val="0"/>
        <w:keepLines w:val="0"/>
        <w:pageBreakBefore w:val="0"/>
        <w:widowControl/>
        <w:kinsoku/>
        <w:wordWrap/>
        <w:overflowPunct/>
        <w:topLinePunct w:val="0"/>
        <w:autoSpaceDE/>
        <w:autoSpaceDN/>
        <w:bidi w:val="0"/>
        <w:adjustRightInd/>
        <w:snapToGrid/>
        <w:spacing w:after="0" w:afterLines="0"/>
        <w:textAlignment w:val="auto"/>
        <w:rPr>
          <w:rFonts w:hint="default"/>
          <w:lang w:val="en-US" w:eastAsia="zh-CN"/>
        </w:rPr>
      </w:pPr>
      <w:bookmarkStart w:id="125" w:name="_Toc1947"/>
      <w:r>
        <w:rPr>
          <w:rFonts w:hint="eastAsia" w:ascii="宋体" w:hAnsi="宋体" w:eastAsia="宋体" w:cs="宋体"/>
          <w:lang w:val="en-US" w:eastAsia="zh-CN"/>
        </w:rPr>
        <w:t>平台应建立售后服务制度，制定售后服务流程，提供完整的售后服务保障，例如：</w:t>
      </w:r>
      <w:bookmarkEnd w:id="125"/>
    </w:p>
    <w:p w14:paraId="228F7AF1">
      <w:pPr>
        <w:pStyle w:val="17"/>
        <w:numPr>
          <w:ilvl w:val="0"/>
          <w:numId w:val="7"/>
        </w:numPr>
        <w:rPr>
          <w:rFonts w:hint="eastAsia"/>
          <w:lang w:val="en-US" w:eastAsia="zh-CN"/>
        </w:rPr>
      </w:pPr>
      <w:r>
        <w:rPr>
          <w:rFonts w:hint="eastAsia"/>
          <w:lang w:val="en-US" w:eastAsia="zh-CN"/>
        </w:rPr>
        <w:t>平台应设置24小时应急服务电话；</w:t>
      </w:r>
    </w:p>
    <w:p w14:paraId="54E5CC0C">
      <w:pPr>
        <w:pStyle w:val="17"/>
        <w:numPr>
          <w:ilvl w:val="0"/>
          <w:numId w:val="7"/>
        </w:numPr>
        <w:rPr>
          <w:rFonts w:hint="eastAsia"/>
          <w:lang w:val="en-US" w:eastAsia="zh-CN"/>
        </w:rPr>
      </w:pPr>
      <w:r>
        <w:rPr>
          <w:rFonts w:hint="eastAsia"/>
          <w:lang w:val="en-US" w:eastAsia="zh-CN"/>
        </w:rPr>
        <w:t>平台应建立在线留言等交互方式。</w:t>
      </w:r>
    </w:p>
    <w:p w14:paraId="41BB447A">
      <w:pPr>
        <w:pStyle w:val="20"/>
        <w:bidi w:val="0"/>
        <w:rPr>
          <w:rFonts w:hint="eastAsia"/>
          <w:lang w:val="en-US" w:eastAsia="zh-CN"/>
        </w:rPr>
      </w:pPr>
      <w:bookmarkStart w:id="126" w:name="_Toc5520"/>
      <w:r>
        <w:rPr>
          <w:rFonts w:hint="eastAsia" w:ascii="宋体" w:hAnsi="宋体" w:eastAsia="宋体" w:cs="宋体"/>
          <w:lang w:val="en-US" w:eastAsia="zh-CN"/>
        </w:rPr>
        <w:t>平台应采取必要的措施保护交易双方的合法权益不受侵害。</w:t>
      </w:r>
      <w:bookmarkEnd w:id="126"/>
    </w:p>
    <w:p w14:paraId="4B6375F9">
      <w:pPr>
        <w:pStyle w:val="20"/>
        <w:bidi w:val="0"/>
        <w:rPr>
          <w:rFonts w:hint="eastAsia" w:ascii="宋体" w:hAnsi="宋体" w:eastAsia="宋体" w:cs="宋体"/>
          <w:lang w:val="en-US" w:eastAsia="zh-CN"/>
        </w:rPr>
      </w:pPr>
      <w:bookmarkStart w:id="127" w:name="_Toc20057"/>
      <w:r>
        <w:rPr>
          <w:rFonts w:hint="eastAsia" w:ascii="宋体" w:hAnsi="宋体" w:eastAsia="宋体" w:cs="宋体"/>
          <w:lang w:val="en-US" w:eastAsia="zh-CN"/>
        </w:rPr>
        <w:t>平台应根据事先的约定或承诺，解决数据需方在数据使用过程中遇到的数据质量问题。</w:t>
      </w:r>
      <w:bookmarkEnd w:id="127"/>
    </w:p>
    <w:p w14:paraId="557B4EFA">
      <w:pPr>
        <w:pStyle w:val="20"/>
        <w:bidi w:val="0"/>
        <w:rPr>
          <w:rFonts w:hint="eastAsia" w:ascii="宋体" w:hAnsi="宋体" w:eastAsia="宋体" w:cs="宋体"/>
          <w:lang w:val="en-US" w:eastAsia="zh-CN"/>
        </w:rPr>
      </w:pPr>
      <w:bookmarkStart w:id="128" w:name="_Toc4528"/>
      <w:r>
        <w:rPr>
          <w:rFonts w:hint="eastAsia" w:ascii="宋体" w:hAnsi="宋体" w:eastAsia="宋体" w:cs="宋体"/>
          <w:lang w:val="en-US" w:eastAsia="zh-CN"/>
        </w:rPr>
        <w:t>平台应为数据需方提供评价数据供方数据质量及平台服务的渠道。</w:t>
      </w:r>
      <w:bookmarkEnd w:id="128"/>
    </w:p>
    <w:p w14:paraId="2987AEAA">
      <w:pPr>
        <w:pStyle w:val="20"/>
        <w:bidi w:val="0"/>
        <w:rPr>
          <w:rFonts w:hint="eastAsia" w:ascii="宋体" w:hAnsi="宋体" w:eastAsia="宋体" w:cs="宋体"/>
          <w:lang w:val="en-US" w:eastAsia="zh-CN"/>
        </w:rPr>
      </w:pPr>
      <w:bookmarkStart w:id="129" w:name="_Toc32131"/>
      <w:r>
        <w:rPr>
          <w:rFonts w:hint="eastAsia" w:ascii="宋体" w:hAnsi="宋体" w:eastAsia="宋体" w:cs="宋体"/>
          <w:lang w:val="en-US" w:eastAsia="zh-CN"/>
        </w:rPr>
        <w:t>平台应明示投诉途径和联系方法、行业主管部门的投诉电话，为交易双方提供有效投诉处理渠道。</w:t>
      </w:r>
      <w:bookmarkEnd w:id="129"/>
    </w:p>
    <w:bookmarkEnd w:id="78"/>
    <w:p w14:paraId="2E24553E">
      <w:pPr>
        <w:pStyle w:val="46"/>
        <w:framePr w:wrap="around" w:vAnchor="text" w:hAnchor="page" w:x="4160" w:y="332"/>
        <w:jc w:val="center"/>
        <w:rPr>
          <w:rFonts w:hint="default"/>
          <w:lang w:val="en-US" w:eastAsia="zh-CN"/>
        </w:rPr>
      </w:pPr>
      <w:bookmarkStart w:id="130" w:name="_Toc20731"/>
      <w:bookmarkEnd w:id="130"/>
      <w:bookmarkStart w:id="131" w:name="_Toc6461"/>
      <w:bookmarkEnd w:id="131"/>
      <w:bookmarkStart w:id="132" w:name="_Toc9036"/>
      <w:bookmarkEnd w:id="132"/>
      <w:r>
        <w:t>________________________________</w:t>
      </w:r>
    </w:p>
    <w:sectPr>
      <w:headerReference r:id="rId13" w:type="default"/>
      <w:footerReference r:id="rId15" w:type="default"/>
      <w:headerReference r:id="rId14" w:type="even"/>
      <w:footerReference r:id="rId16" w:type="even"/>
      <w:pgSz w:w="11906" w:h="16838"/>
      <w:pgMar w:top="1417" w:right="1134" w:bottom="1417" w:left="1134" w:header="851" w:footer="992" w:gutter="0"/>
      <w:paperSrc/>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BBDB6">
    <w:pPr>
      <w:pStyle w:val="8"/>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4275AA">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6E4275AA">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B434F">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FEC51A">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79FEC51A">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155A7">
    <w:pPr>
      <w:pStyle w:val="4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0C889A">
                          <w:pPr>
                            <w:pStyle w:val="4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5MOzf4QEAAM4DAAAOAAAA&#10;AAAAAAEAIAAAAB4BAABkcnMvZTJvRG9jLnhtbFBLBQYAAAAABgAGAFkBAABxBQAAAAA=&#10;">
              <v:fill on="f" focussize="0,0"/>
              <v:stroke on="f"/>
              <v:imagedata o:title=""/>
              <o:lock v:ext="edit" aspectratio="f"/>
              <v:textbox inset="0mm,0mm,0mm,0mm" style="mso-fit-shape-to-text:t;">
                <w:txbxContent>
                  <w:p w14:paraId="430C889A">
                    <w:pPr>
                      <w:pStyle w:val="4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BF9D8">
    <w:pPr>
      <w:pStyle w:val="4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7CFE84">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6CiY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HugomOgIAAHEEAAAOAAAAAAAAAAEAIAAAAB8BAABkcnMvZTJvRG9j&#10;LnhtbFBLBQYAAAAABgAGAFkBAADLBQAAAAA=&#10;">
              <v:fill on="f" focussize="0,0"/>
              <v:stroke on="f" weight="0.5pt"/>
              <v:imagedata o:title=""/>
              <o:lock v:ext="edit" aspectratio="f"/>
              <v:textbox inset="0mm,0mm,0mm,0mm" style="mso-fit-shape-to-text:t;">
                <w:txbxContent>
                  <w:p w14:paraId="797CFE84">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020B0">
    <w:pPr>
      <w:pStyle w:val="43"/>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7BC0157">
                          <w:pPr>
                            <w:pStyle w:val="43"/>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MVFfuIBAADOAwAADgAA&#10;AAAAAAABACAAAAAeAQAAZHJzL2Uyb0RvYy54bWxQSwUGAAAAAAYABgBZAQAAcgUAAAAA&#10;">
              <v:fill on="f" focussize="0,0"/>
              <v:stroke on="f"/>
              <v:imagedata o:title=""/>
              <o:lock v:ext="edit" aspectratio="f"/>
              <v:textbox inset="0mm,0mm,0mm,0mm" style="mso-fit-shape-to-text:t;">
                <w:txbxContent>
                  <w:p w14:paraId="77BC0157">
                    <w:pPr>
                      <w:pStyle w:val="43"/>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18FAC">
    <w:pPr>
      <w:pStyle w:val="44"/>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339279A">
                          <w:pPr>
                            <w:pStyle w:val="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4339279A">
                    <w:pPr>
                      <w:pStyle w:val="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93AEB">
    <w:pPr>
      <w:pStyle w:val="9"/>
      <w:pBdr>
        <w:bottom w:val="none" w:color="auto" w:sz="0" w:space="1"/>
      </w:pBdr>
      <w:rPr>
        <w:rFonts w:hint="default" w:eastAsia="宋体"/>
        <w:lang w:val="en-US" w:eastAsia="zh-CN"/>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FCCE2">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17123">
    <w:pPr>
      <w:pStyle w:val="9"/>
      <w:jc w:val="right"/>
      <w:rPr>
        <w:rFonts w:hint="default" w:eastAsia="宋体"/>
        <w:lang w:val="en-US"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21</w:t>
    </w:r>
    <w:r>
      <w:rPr>
        <w:rFonts w:hint="eastAsia" w:ascii="黑体" w:hAnsi="黑体" w:eastAsia="黑体" w:cs="黑体"/>
        <w:sz w:val="21"/>
        <w:szCs w:val="21"/>
        <w:lang w:eastAsia="zh-CN"/>
      </w:rPr>
      <w:t>/T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D0B11">
    <w:pPr>
      <w:pStyle w:val="9"/>
      <w:ind w:firstLine="6510" w:firstLineChars="3100"/>
      <w:rPr>
        <w:rFonts w:hint="eastAsia" w:ascii="黑体" w:hAnsi="黑体" w:eastAsia="黑体" w:cs="黑体"/>
        <w:sz w:val="21"/>
        <w:szCs w:val="21"/>
      </w:rPr>
    </w:pPr>
    <w:r>
      <w:rPr>
        <w:rFonts w:hint="eastAsia" w:ascii="黑体" w:hAnsi="黑体" w:eastAsia="黑体" w:cs="黑体"/>
        <w:sz w:val="21"/>
        <w:szCs w:val="21"/>
        <w:lang w:eastAsia="zh-CN"/>
      </w:rPr>
      <w:t>DBXX/T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C42EE">
    <w:pPr>
      <w:pStyle w:val="41"/>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07D28">
    <w:pPr>
      <w:pStyle w:val="42"/>
      <w:pBdr>
        <w:bottom w:val="none" w:color="auto" w:sz="0" w:space="0"/>
      </w:pBdr>
      <w:jc w:val="both"/>
    </w:pPr>
    <w:r>
      <w:t>DB21/T XXXXX—20</w:t>
    </w:r>
    <w:r>
      <w:rPr>
        <w:rFonts w:hint="eastAsia"/>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E59F1">
    <w:pPr>
      <w:pStyle w:val="41"/>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4995B">
    <w:pPr>
      <w:pStyle w:val="42"/>
      <w:pBdr>
        <w:bottom w:val="none" w:color="auto" w:sz="0" w:space="0"/>
      </w:pBdr>
      <w:jc w:val="both"/>
    </w:pPr>
    <w:r>
      <w:t>DB21/T XXXXX—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30C46"/>
    <w:multiLevelType w:val="multilevel"/>
    <w:tmpl w:val="8E330C46"/>
    <w:lvl w:ilvl="0" w:tentative="0">
      <w:start w:val="1"/>
      <w:numFmt w:val="upperLetter"/>
      <w:pStyle w:val="48"/>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9EB36CBD"/>
    <w:multiLevelType w:val="singleLevel"/>
    <w:tmpl w:val="9EB36CBD"/>
    <w:lvl w:ilvl="0" w:tentative="0">
      <w:start w:val="1"/>
      <w:numFmt w:val="lowerLetter"/>
      <w:suff w:val="space"/>
      <w:lvlText w:val="%1）"/>
      <w:lvlJc w:val="left"/>
    </w:lvl>
  </w:abstractNum>
  <w:abstractNum w:abstractNumId="2">
    <w:nsid w:val="A61A7843"/>
    <w:multiLevelType w:val="multilevel"/>
    <w:tmpl w:val="A61A7843"/>
    <w:lvl w:ilvl="0" w:tentative="0">
      <w:start w:val="1"/>
      <w:numFmt w:val="upperLetter"/>
      <w:suff w:val="nothing"/>
      <w:lvlText w:val="附　录　%1"/>
      <w:lvlJc w:val="left"/>
      <w:pPr>
        <w:tabs>
          <w:tab w:val="left" w:pos="0"/>
        </w:tabs>
        <w:ind w:left="432" w:hanging="432"/>
      </w:pPr>
      <w:rPr>
        <w:rFonts w:hint="default" w:ascii="黑体" w:hAnsi="黑体" w:eastAsia="黑体" w:cs="黑体"/>
        <w:sz w:val="21"/>
        <w:szCs w:val="21"/>
      </w:rPr>
    </w:lvl>
    <w:lvl w:ilvl="1" w:tentative="0">
      <w:start w:val="1"/>
      <w:numFmt w:val="decimal"/>
      <w:pStyle w:val="51"/>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A89AD1B7"/>
    <w:multiLevelType w:val="singleLevel"/>
    <w:tmpl w:val="A89AD1B7"/>
    <w:lvl w:ilvl="0" w:tentative="0">
      <w:start w:val="1"/>
      <w:numFmt w:val="lowerLetter"/>
      <w:suff w:val="space"/>
      <w:lvlText w:val="%1）"/>
      <w:lvlJc w:val="left"/>
    </w:lvl>
  </w:abstractNum>
  <w:abstractNum w:abstractNumId="4">
    <w:nsid w:val="C8A6D1E5"/>
    <w:multiLevelType w:val="multilevel"/>
    <w:tmpl w:val="C8A6D1E5"/>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22"/>
      <w:suff w:val="nothing"/>
      <w:lvlText w:val="%1.%2.%3.%4　"/>
      <w:lvlJc w:val="left"/>
      <w:pPr>
        <w:tabs>
          <w:tab w:val="left" w:pos="0"/>
        </w:tabs>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5800FA64"/>
    <w:multiLevelType w:val="singleLevel"/>
    <w:tmpl w:val="5800FA64"/>
    <w:lvl w:ilvl="0" w:tentative="0">
      <w:start w:val="1"/>
      <w:numFmt w:val="lowerLetter"/>
      <w:suff w:val="space"/>
      <w:lvlText w:val="%1）"/>
      <w:lvlJc w:val="left"/>
    </w:lvl>
  </w:abstractNum>
  <w:abstractNum w:abstractNumId="6">
    <w:nsid w:val="6AC25856"/>
    <w:multiLevelType w:val="multilevel"/>
    <w:tmpl w:val="6AC25856"/>
    <w:lvl w:ilvl="0" w:tentative="0">
      <w:start w:val="1"/>
      <w:numFmt w:val="lowerLetter"/>
      <w:pStyle w:val="47"/>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4"/>
  </w:num>
  <w:num w:numId="2">
    <w:abstractNumId w:val="6"/>
  </w:num>
  <w:num w:numId="3">
    <w:abstractNumId w:val="0"/>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GQ1Y2YzYzc0MzBlOGI1Y2NlOWQyNDk5YjE3NjEifQ=="/>
  </w:docVars>
  <w:rsids>
    <w:rsidRoot w:val="00000000"/>
    <w:rsid w:val="000A51EB"/>
    <w:rsid w:val="00DA072E"/>
    <w:rsid w:val="01832FEA"/>
    <w:rsid w:val="01ED39E9"/>
    <w:rsid w:val="021251DC"/>
    <w:rsid w:val="021711C4"/>
    <w:rsid w:val="0270686F"/>
    <w:rsid w:val="02FB26B6"/>
    <w:rsid w:val="03060F81"/>
    <w:rsid w:val="030A0A85"/>
    <w:rsid w:val="038A57E4"/>
    <w:rsid w:val="04446205"/>
    <w:rsid w:val="04940A72"/>
    <w:rsid w:val="04D01847"/>
    <w:rsid w:val="04DF7CDC"/>
    <w:rsid w:val="050114B1"/>
    <w:rsid w:val="05574797"/>
    <w:rsid w:val="058E2590"/>
    <w:rsid w:val="06677633"/>
    <w:rsid w:val="078F7797"/>
    <w:rsid w:val="07A54926"/>
    <w:rsid w:val="07DE23FA"/>
    <w:rsid w:val="07E9355D"/>
    <w:rsid w:val="07F95559"/>
    <w:rsid w:val="085E4E22"/>
    <w:rsid w:val="08B05F66"/>
    <w:rsid w:val="08BD6586"/>
    <w:rsid w:val="09630EDC"/>
    <w:rsid w:val="097E4BB9"/>
    <w:rsid w:val="09884AD3"/>
    <w:rsid w:val="09A3577C"/>
    <w:rsid w:val="0A046B64"/>
    <w:rsid w:val="0A5E0832"/>
    <w:rsid w:val="0A713694"/>
    <w:rsid w:val="0A8315E8"/>
    <w:rsid w:val="0B291CB1"/>
    <w:rsid w:val="0B4659CE"/>
    <w:rsid w:val="0BE81B6C"/>
    <w:rsid w:val="0C7F7469"/>
    <w:rsid w:val="0C9E047D"/>
    <w:rsid w:val="0CC023AC"/>
    <w:rsid w:val="0D274271"/>
    <w:rsid w:val="0D336E17"/>
    <w:rsid w:val="0DAD6BC9"/>
    <w:rsid w:val="0DBE7D67"/>
    <w:rsid w:val="0E68540D"/>
    <w:rsid w:val="0E6B25E0"/>
    <w:rsid w:val="0F42031C"/>
    <w:rsid w:val="0F71790E"/>
    <w:rsid w:val="0F927241"/>
    <w:rsid w:val="0FE31D28"/>
    <w:rsid w:val="0FE97C61"/>
    <w:rsid w:val="0FF65A53"/>
    <w:rsid w:val="10B908E8"/>
    <w:rsid w:val="10BE2E9B"/>
    <w:rsid w:val="10E5137A"/>
    <w:rsid w:val="10FD7E17"/>
    <w:rsid w:val="1102192B"/>
    <w:rsid w:val="110330BE"/>
    <w:rsid w:val="11880CFD"/>
    <w:rsid w:val="118C7CE1"/>
    <w:rsid w:val="119A7465"/>
    <w:rsid w:val="11BA18B5"/>
    <w:rsid w:val="12154D3D"/>
    <w:rsid w:val="1255782F"/>
    <w:rsid w:val="125B4710"/>
    <w:rsid w:val="127C6F3D"/>
    <w:rsid w:val="12BA7BB1"/>
    <w:rsid w:val="12BE52A0"/>
    <w:rsid w:val="1319648C"/>
    <w:rsid w:val="13427DB4"/>
    <w:rsid w:val="1352282D"/>
    <w:rsid w:val="136441CE"/>
    <w:rsid w:val="13973CC4"/>
    <w:rsid w:val="14445DAD"/>
    <w:rsid w:val="14A30D26"/>
    <w:rsid w:val="14B96C9B"/>
    <w:rsid w:val="14D94748"/>
    <w:rsid w:val="14E30599"/>
    <w:rsid w:val="150317C5"/>
    <w:rsid w:val="15A5287C"/>
    <w:rsid w:val="15FF5FFC"/>
    <w:rsid w:val="161A0B74"/>
    <w:rsid w:val="166718EF"/>
    <w:rsid w:val="1668008F"/>
    <w:rsid w:val="16812791"/>
    <w:rsid w:val="16BE099A"/>
    <w:rsid w:val="16DC22CD"/>
    <w:rsid w:val="16F05D79"/>
    <w:rsid w:val="172A3039"/>
    <w:rsid w:val="176237F0"/>
    <w:rsid w:val="17E913A6"/>
    <w:rsid w:val="181E2303"/>
    <w:rsid w:val="18A62B93"/>
    <w:rsid w:val="18B67417"/>
    <w:rsid w:val="18CA1E97"/>
    <w:rsid w:val="18D3325C"/>
    <w:rsid w:val="194505FE"/>
    <w:rsid w:val="197B097D"/>
    <w:rsid w:val="199D3F96"/>
    <w:rsid w:val="1A1D50D7"/>
    <w:rsid w:val="1A6D4ABE"/>
    <w:rsid w:val="1AA10847"/>
    <w:rsid w:val="1AAE3F81"/>
    <w:rsid w:val="1B0702A6"/>
    <w:rsid w:val="1C3A79A2"/>
    <w:rsid w:val="1D51661C"/>
    <w:rsid w:val="1D6E5A13"/>
    <w:rsid w:val="1DB16F65"/>
    <w:rsid w:val="1E5D0CBB"/>
    <w:rsid w:val="1E5E4A6A"/>
    <w:rsid w:val="1E6C2189"/>
    <w:rsid w:val="1E9A08BD"/>
    <w:rsid w:val="1F110861"/>
    <w:rsid w:val="1F26058A"/>
    <w:rsid w:val="1F274B4E"/>
    <w:rsid w:val="1F356A1F"/>
    <w:rsid w:val="1F5570C1"/>
    <w:rsid w:val="1F9E2816"/>
    <w:rsid w:val="1FB74CF6"/>
    <w:rsid w:val="1FBC2C9C"/>
    <w:rsid w:val="1FCC441A"/>
    <w:rsid w:val="1FD86B67"/>
    <w:rsid w:val="20135C1B"/>
    <w:rsid w:val="2040567B"/>
    <w:rsid w:val="20CE51B6"/>
    <w:rsid w:val="20E97AC1"/>
    <w:rsid w:val="21690B86"/>
    <w:rsid w:val="21844799"/>
    <w:rsid w:val="219914E7"/>
    <w:rsid w:val="219A4F8F"/>
    <w:rsid w:val="224455F9"/>
    <w:rsid w:val="248A3369"/>
    <w:rsid w:val="2536418B"/>
    <w:rsid w:val="25CC33E0"/>
    <w:rsid w:val="260E1D77"/>
    <w:rsid w:val="26917128"/>
    <w:rsid w:val="26CC7C68"/>
    <w:rsid w:val="271E248E"/>
    <w:rsid w:val="2778394C"/>
    <w:rsid w:val="277F117F"/>
    <w:rsid w:val="27934C2A"/>
    <w:rsid w:val="27B626C7"/>
    <w:rsid w:val="282B2D9B"/>
    <w:rsid w:val="28B70993"/>
    <w:rsid w:val="28F811E9"/>
    <w:rsid w:val="294D7958"/>
    <w:rsid w:val="29A0362E"/>
    <w:rsid w:val="29BC5914"/>
    <w:rsid w:val="2AB72193"/>
    <w:rsid w:val="2AF83D24"/>
    <w:rsid w:val="2B223E4E"/>
    <w:rsid w:val="2B2A751A"/>
    <w:rsid w:val="2B35355B"/>
    <w:rsid w:val="2B42499D"/>
    <w:rsid w:val="2B555710"/>
    <w:rsid w:val="2B791A12"/>
    <w:rsid w:val="2BEB171C"/>
    <w:rsid w:val="2C071743"/>
    <w:rsid w:val="2C6E275C"/>
    <w:rsid w:val="2C832700"/>
    <w:rsid w:val="2C8E4A32"/>
    <w:rsid w:val="2C974627"/>
    <w:rsid w:val="2CBC1D1A"/>
    <w:rsid w:val="2D960FD0"/>
    <w:rsid w:val="2DB91495"/>
    <w:rsid w:val="2E8C5F2F"/>
    <w:rsid w:val="2E984EEC"/>
    <w:rsid w:val="2EA72D69"/>
    <w:rsid w:val="2EBA2A9C"/>
    <w:rsid w:val="2EED10C4"/>
    <w:rsid w:val="2F191EB9"/>
    <w:rsid w:val="2F206CA8"/>
    <w:rsid w:val="2F5D3AF9"/>
    <w:rsid w:val="2F7E1D1C"/>
    <w:rsid w:val="2F927575"/>
    <w:rsid w:val="2FD46965"/>
    <w:rsid w:val="300D4E4E"/>
    <w:rsid w:val="301F34FF"/>
    <w:rsid w:val="30202DD3"/>
    <w:rsid w:val="3072727C"/>
    <w:rsid w:val="30801AC4"/>
    <w:rsid w:val="30837A14"/>
    <w:rsid w:val="308B0B94"/>
    <w:rsid w:val="30CB557B"/>
    <w:rsid w:val="311A3CC6"/>
    <w:rsid w:val="311F12DD"/>
    <w:rsid w:val="31584FB6"/>
    <w:rsid w:val="31E61302"/>
    <w:rsid w:val="32537490"/>
    <w:rsid w:val="3272469C"/>
    <w:rsid w:val="33250631"/>
    <w:rsid w:val="33AF6948"/>
    <w:rsid w:val="33D175A2"/>
    <w:rsid w:val="33F97BC3"/>
    <w:rsid w:val="34506A44"/>
    <w:rsid w:val="34C74165"/>
    <w:rsid w:val="355F7EFA"/>
    <w:rsid w:val="365C49CB"/>
    <w:rsid w:val="36C83A63"/>
    <w:rsid w:val="374E69B0"/>
    <w:rsid w:val="375A306E"/>
    <w:rsid w:val="378211A5"/>
    <w:rsid w:val="378A5B0E"/>
    <w:rsid w:val="38037E5A"/>
    <w:rsid w:val="380700D4"/>
    <w:rsid w:val="38291C55"/>
    <w:rsid w:val="3838181B"/>
    <w:rsid w:val="3860144A"/>
    <w:rsid w:val="38AD6266"/>
    <w:rsid w:val="38C60291"/>
    <w:rsid w:val="39317DFF"/>
    <w:rsid w:val="3951684D"/>
    <w:rsid w:val="396106E4"/>
    <w:rsid w:val="39B60304"/>
    <w:rsid w:val="3AC568A1"/>
    <w:rsid w:val="3ACA050B"/>
    <w:rsid w:val="3BDD601C"/>
    <w:rsid w:val="3C08753D"/>
    <w:rsid w:val="3CC354EE"/>
    <w:rsid w:val="3D89020A"/>
    <w:rsid w:val="3D9372DA"/>
    <w:rsid w:val="3DB741C7"/>
    <w:rsid w:val="3E3F47A6"/>
    <w:rsid w:val="3ECA7D3F"/>
    <w:rsid w:val="3EED420A"/>
    <w:rsid w:val="3FA90ACB"/>
    <w:rsid w:val="3FF027C2"/>
    <w:rsid w:val="404E1192"/>
    <w:rsid w:val="40646D0C"/>
    <w:rsid w:val="40692574"/>
    <w:rsid w:val="40D55514"/>
    <w:rsid w:val="40DC2D46"/>
    <w:rsid w:val="40F549F7"/>
    <w:rsid w:val="410202BD"/>
    <w:rsid w:val="414B3510"/>
    <w:rsid w:val="423821FE"/>
    <w:rsid w:val="42DC527F"/>
    <w:rsid w:val="43301127"/>
    <w:rsid w:val="43C20D21"/>
    <w:rsid w:val="43CA332A"/>
    <w:rsid w:val="43D16E40"/>
    <w:rsid w:val="448259B3"/>
    <w:rsid w:val="44FA6CCA"/>
    <w:rsid w:val="4504461A"/>
    <w:rsid w:val="451531B5"/>
    <w:rsid w:val="45230F44"/>
    <w:rsid w:val="452F78E8"/>
    <w:rsid w:val="45DB1A12"/>
    <w:rsid w:val="464F2154"/>
    <w:rsid w:val="46715CDF"/>
    <w:rsid w:val="46B8390E"/>
    <w:rsid w:val="476C2551"/>
    <w:rsid w:val="47DE73A4"/>
    <w:rsid w:val="47F35500"/>
    <w:rsid w:val="485E04E5"/>
    <w:rsid w:val="485F6737"/>
    <w:rsid w:val="487B178B"/>
    <w:rsid w:val="48AE4FC8"/>
    <w:rsid w:val="48B63E7D"/>
    <w:rsid w:val="48DC521B"/>
    <w:rsid w:val="48F84495"/>
    <w:rsid w:val="493C25D4"/>
    <w:rsid w:val="499A379E"/>
    <w:rsid w:val="49DB33E8"/>
    <w:rsid w:val="4A264ABA"/>
    <w:rsid w:val="4B196BF9"/>
    <w:rsid w:val="4B7B5326"/>
    <w:rsid w:val="4C0013B8"/>
    <w:rsid w:val="4C357C73"/>
    <w:rsid w:val="4C783C43"/>
    <w:rsid w:val="4D117C43"/>
    <w:rsid w:val="4D2F5B84"/>
    <w:rsid w:val="4D3B54F3"/>
    <w:rsid w:val="4D44220B"/>
    <w:rsid w:val="4D4C4DB0"/>
    <w:rsid w:val="4DA80305"/>
    <w:rsid w:val="4E2A684F"/>
    <w:rsid w:val="4E38454F"/>
    <w:rsid w:val="4E481A1B"/>
    <w:rsid w:val="4E5456AD"/>
    <w:rsid w:val="4E90542A"/>
    <w:rsid w:val="4E9B7D9D"/>
    <w:rsid w:val="4EB87862"/>
    <w:rsid w:val="4EBC62BA"/>
    <w:rsid w:val="4F0E1F8A"/>
    <w:rsid w:val="4F2265E3"/>
    <w:rsid w:val="4F35568B"/>
    <w:rsid w:val="4F361072"/>
    <w:rsid w:val="4F5F0DCA"/>
    <w:rsid w:val="4F7C7BCE"/>
    <w:rsid w:val="4F8C3B89"/>
    <w:rsid w:val="4FA23309"/>
    <w:rsid w:val="501E2A33"/>
    <w:rsid w:val="504D3381"/>
    <w:rsid w:val="50DD469C"/>
    <w:rsid w:val="51065298"/>
    <w:rsid w:val="51112598"/>
    <w:rsid w:val="514079F2"/>
    <w:rsid w:val="51E25CE3"/>
    <w:rsid w:val="51F067FF"/>
    <w:rsid w:val="51FA2E37"/>
    <w:rsid w:val="525070F0"/>
    <w:rsid w:val="52A8453E"/>
    <w:rsid w:val="52B4767F"/>
    <w:rsid w:val="533F6A4C"/>
    <w:rsid w:val="539D0113"/>
    <w:rsid w:val="53CC27A6"/>
    <w:rsid w:val="545317BB"/>
    <w:rsid w:val="54710C43"/>
    <w:rsid w:val="54E31887"/>
    <w:rsid w:val="550541C2"/>
    <w:rsid w:val="551E2E50"/>
    <w:rsid w:val="55241A34"/>
    <w:rsid w:val="55AD3E7A"/>
    <w:rsid w:val="55F024A5"/>
    <w:rsid w:val="56717635"/>
    <w:rsid w:val="569C19C2"/>
    <w:rsid w:val="56B215F3"/>
    <w:rsid w:val="56F014EE"/>
    <w:rsid w:val="575B456D"/>
    <w:rsid w:val="577869B3"/>
    <w:rsid w:val="57D22761"/>
    <w:rsid w:val="58FD3402"/>
    <w:rsid w:val="59745DBA"/>
    <w:rsid w:val="59981AA8"/>
    <w:rsid w:val="599B3347"/>
    <w:rsid w:val="59B51B1C"/>
    <w:rsid w:val="59C04B5B"/>
    <w:rsid w:val="59D6437F"/>
    <w:rsid w:val="5ADE798F"/>
    <w:rsid w:val="5B052E61"/>
    <w:rsid w:val="5B4672E2"/>
    <w:rsid w:val="5C3E620B"/>
    <w:rsid w:val="5C514191"/>
    <w:rsid w:val="5C8A7944"/>
    <w:rsid w:val="5C9255E4"/>
    <w:rsid w:val="5CAE05F8"/>
    <w:rsid w:val="5CC54506"/>
    <w:rsid w:val="5CEE5E83"/>
    <w:rsid w:val="5D107BA8"/>
    <w:rsid w:val="5D1E0517"/>
    <w:rsid w:val="5D2850E5"/>
    <w:rsid w:val="5D33519C"/>
    <w:rsid w:val="5D617A99"/>
    <w:rsid w:val="5D9A3915"/>
    <w:rsid w:val="5DC05595"/>
    <w:rsid w:val="5DC3772A"/>
    <w:rsid w:val="5DF179D9"/>
    <w:rsid w:val="5E006433"/>
    <w:rsid w:val="5E6D224E"/>
    <w:rsid w:val="5EF24309"/>
    <w:rsid w:val="5F304531"/>
    <w:rsid w:val="60C70EC5"/>
    <w:rsid w:val="612D013D"/>
    <w:rsid w:val="614E09AF"/>
    <w:rsid w:val="61781F06"/>
    <w:rsid w:val="61EF3C1A"/>
    <w:rsid w:val="623C4AC4"/>
    <w:rsid w:val="62483940"/>
    <w:rsid w:val="624A590A"/>
    <w:rsid w:val="625E13B5"/>
    <w:rsid w:val="62814C8E"/>
    <w:rsid w:val="63AA238E"/>
    <w:rsid w:val="63E42ACD"/>
    <w:rsid w:val="63E541F4"/>
    <w:rsid w:val="642D7291"/>
    <w:rsid w:val="647B4A42"/>
    <w:rsid w:val="647E0BAA"/>
    <w:rsid w:val="64867B99"/>
    <w:rsid w:val="649966D5"/>
    <w:rsid w:val="650D4D02"/>
    <w:rsid w:val="6612673F"/>
    <w:rsid w:val="664B39FF"/>
    <w:rsid w:val="6686008C"/>
    <w:rsid w:val="66882EA5"/>
    <w:rsid w:val="66E77BCB"/>
    <w:rsid w:val="66F875CA"/>
    <w:rsid w:val="67193AFD"/>
    <w:rsid w:val="673F21F8"/>
    <w:rsid w:val="675418E4"/>
    <w:rsid w:val="67CE2B39"/>
    <w:rsid w:val="67E20393"/>
    <w:rsid w:val="683F3A37"/>
    <w:rsid w:val="68756BE6"/>
    <w:rsid w:val="692544AC"/>
    <w:rsid w:val="69770C2A"/>
    <w:rsid w:val="69CB37D4"/>
    <w:rsid w:val="69D81A4D"/>
    <w:rsid w:val="6A6D03E7"/>
    <w:rsid w:val="6A726F41"/>
    <w:rsid w:val="6ABC1FE6"/>
    <w:rsid w:val="6B162E05"/>
    <w:rsid w:val="6BD0495B"/>
    <w:rsid w:val="6BD821D8"/>
    <w:rsid w:val="6BDF3567"/>
    <w:rsid w:val="6C1D1826"/>
    <w:rsid w:val="6C9A123C"/>
    <w:rsid w:val="6C9D28A7"/>
    <w:rsid w:val="6CEB1A97"/>
    <w:rsid w:val="6D3D187A"/>
    <w:rsid w:val="6D400035"/>
    <w:rsid w:val="6E4C47B8"/>
    <w:rsid w:val="6ECE1671"/>
    <w:rsid w:val="6F12155D"/>
    <w:rsid w:val="6F173018"/>
    <w:rsid w:val="6F1E7E0E"/>
    <w:rsid w:val="6F2562BF"/>
    <w:rsid w:val="6F775F24"/>
    <w:rsid w:val="6FAA5C3A"/>
    <w:rsid w:val="70117A67"/>
    <w:rsid w:val="705838E8"/>
    <w:rsid w:val="705F171E"/>
    <w:rsid w:val="70910BA8"/>
    <w:rsid w:val="70952446"/>
    <w:rsid w:val="713878EC"/>
    <w:rsid w:val="71B7100B"/>
    <w:rsid w:val="71C21E2A"/>
    <w:rsid w:val="722E4900"/>
    <w:rsid w:val="727B72D2"/>
    <w:rsid w:val="72AC3B1C"/>
    <w:rsid w:val="72C9287B"/>
    <w:rsid w:val="73BC5F3C"/>
    <w:rsid w:val="73CD1EF7"/>
    <w:rsid w:val="74D55507"/>
    <w:rsid w:val="74EB3CA8"/>
    <w:rsid w:val="755F74C6"/>
    <w:rsid w:val="761924FD"/>
    <w:rsid w:val="7642029A"/>
    <w:rsid w:val="76733229"/>
    <w:rsid w:val="768D3BBF"/>
    <w:rsid w:val="77571C13"/>
    <w:rsid w:val="77752FD1"/>
    <w:rsid w:val="783B1B25"/>
    <w:rsid w:val="786346E0"/>
    <w:rsid w:val="7AAD2B01"/>
    <w:rsid w:val="7AF10BC1"/>
    <w:rsid w:val="7B046B46"/>
    <w:rsid w:val="7B203254"/>
    <w:rsid w:val="7BD54A1F"/>
    <w:rsid w:val="7C0262E2"/>
    <w:rsid w:val="7C417926"/>
    <w:rsid w:val="7C765821"/>
    <w:rsid w:val="7C7E51E8"/>
    <w:rsid w:val="7C8810B1"/>
    <w:rsid w:val="7D0A5F6A"/>
    <w:rsid w:val="7D311748"/>
    <w:rsid w:val="7D586784"/>
    <w:rsid w:val="7DA61899"/>
    <w:rsid w:val="7DBB7604"/>
    <w:rsid w:val="7DE62533"/>
    <w:rsid w:val="7DE642E1"/>
    <w:rsid w:val="7E132BFC"/>
    <w:rsid w:val="7E3B7FEE"/>
    <w:rsid w:val="7E8D0C00"/>
    <w:rsid w:val="7E925766"/>
    <w:rsid w:val="7E980C67"/>
    <w:rsid w:val="7EC37819"/>
    <w:rsid w:val="7F01514B"/>
    <w:rsid w:val="7F333489"/>
    <w:rsid w:val="7F576C64"/>
    <w:rsid w:val="7F5E434B"/>
    <w:rsid w:val="7F857B2A"/>
    <w:rsid w:val="7FC93E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5">
    <w:name w:val="Default Paragraph Font"/>
    <w:semiHidden/>
    <w:qFormat/>
    <w:uiPriority w:val="0"/>
  </w:style>
  <w:style w:type="table" w:default="1" w:styleId="13">
    <w:name w:val="Normal Table"/>
    <w:semiHidden/>
    <w:qFormat/>
    <w:uiPriority w:val="0"/>
    <w:tblPr>
      <w:tblStyle w:val="13"/>
      <w:tblCellMar>
        <w:top w:w="0" w:type="dxa"/>
        <w:left w:w="108" w:type="dxa"/>
        <w:bottom w:w="0" w:type="dxa"/>
        <w:right w:w="108" w:type="dxa"/>
      </w:tblCellMar>
    </w:tblPr>
  </w:style>
  <w:style w:type="paragraph" w:styleId="2">
    <w:name w:val="Body Text"/>
    <w:basedOn w:val="1"/>
    <w:next w:val="3"/>
    <w:qFormat/>
    <w:uiPriority w:val="1"/>
    <w:pPr>
      <w:widowControl/>
      <w:spacing w:line="384" w:lineRule="exact"/>
      <w:ind w:right="-364" w:rightChars="-364"/>
    </w:pPr>
    <w:rPr>
      <w:rFonts w:ascii="宋体" w:hAnsi="宋体" w:eastAsia="宋体" w:cs="宋体"/>
      <w:szCs w:val="21"/>
      <w:lang w:val="ca-ES" w:eastAsia="ca-ES" w:bidi="ca-ES"/>
    </w:rPr>
  </w:style>
  <w:style w:type="paragraph" w:styleId="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5">
    <w:name w:val="annotation text"/>
    <w:basedOn w:val="1"/>
    <w:qFormat/>
    <w:uiPriority w:val="0"/>
    <w:pPr>
      <w:jc w:val="left"/>
    </w:pPr>
  </w:style>
  <w:style w:type="paragraph" w:styleId="6">
    <w:name w:val="Body Text 3"/>
    <w:basedOn w:val="1"/>
    <w:uiPriority w:val="0"/>
    <w:pPr>
      <w:spacing w:after="120" w:afterLines="0" w:afterAutospacing="0"/>
    </w:pPr>
    <w:rPr>
      <w:sz w:val="16"/>
    </w:rPr>
  </w:style>
  <w:style w:type="paragraph" w:styleId="7">
    <w:name w:val="toc 3"/>
    <w:basedOn w:val="1"/>
    <w:next w:val="1"/>
    <w:qFormat/>
    <w:uiPriority w:val="0"/>
    <w:pPr>
      <w:ind w:left="840" w:leftChars="400"/>
    </w:pPr>
  </w:style>
  <w:style w:type="paragraph" w:styleId="8">
    <w:name w:val="footer"/>
    <w:basedOn w:val="1"/>
    <w:qFormat/>
    <w:uiPriority w:val="0"/>
    <w:pPr>
      <w:snapToGrid w:val="0"/>
      <w:ind w:right="210" w:rightChars="100"/>
      <w:jc w:val="righ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semiHidden/>
    <w:qFormat/>
    <w:uiPriority w:val="0"/>
    <w:pPr>
      <w:tabs>
        <w:tab w:val="right" w:leader="dot" w:pos="9242"/>
      </w:tabs>
      <w:spacing w:beforeLines="25" w:afterLines="25"/>
      <w:jc w:val="left"/>
    </w:pPr>
    <w:rPr>
      <w:rFonts w:ascii="宋体"/>
      <w:szCs w:val="21"/>
    </w:rPr>
  </w:style>
  <w:style w:type="paragraph" w:styleId="11">
    <w:name w:val="toc 4"/>
    <w:basedOn w:val="1"/>
    <w:next w:val="1"/>
    <w:qFormat/>
    <w:uiPriority w:val="0"/>
    <w:pPr>
      <w:ind w:left="1260" w:leftChars="600"/>
    </w:pPr>
  </w:style>
  <w:style w:type="paragraph" w:styleId="12">
    <w:name w:val="toc 2"/>
    <w:basedOn w:val="10"/>
    <w:next w:val="1"/>
    <w:semiHidden/>
    <w:qFormat/>
    <w:uiPriority w:val="0"/>
    <w:rPr>
      <w:rFonts w:ascii="宋体"/>
      <w:szCs w:val="21"/>
    </w:rPr>
  </w:style>
  <w:style w:type="table" w:styleId="14">
    <w:name w:val="Table Grid"/>
    <w:basedOn w:val="13"/>
    <w:qFormat/>
    <w:uiPriority w:val="0"/>
    <w:pPr>
      <w:widowControl w:val="0"/>
      <w:jc w:val="both"/>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章标题"/>
    <w:next w:val="17"/>
    <w:qFormat/>
    <w:uiPriority w:val="0"/>
    <w:pPr>
      <w:numPr>
        <w:ilvl w:val="0"/>
        <w:numId w:val="1"/>
      </w:numPr>
      <w:spacing w:before="100" w:beforeLines="100" w:after="100" w:afterLines="100"/>
      <w:jc w:val="both"/>
      <w:outlineLvl w:val="1"/>
    </w:pPr>
    <w:rPr>
      <w:rFonts w:ascii="黑体" w:hAnsi="黑体" w:eastAsia="黑体" w:cs="Times New Roman"/>
      <w:sz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8">
    <w:name w:val="一级条标题"/>
    <w:next w:val="17"/>
    <w:link w:val="19"/>
    <w:qFormat/>
    <w:uiPriority w:val="0"/>
    <w:pPr>
      <w:numPr>
        <w:ilvl w:val="1"/>
        <w:numId w:val="1"/>
      </w:numPr>
      <w:spacing w:before="50" w:beforeLines="50" w:after="50" w:afterLines="50"/>
      <w:outlineLvl w:val="2"/>
    </w:pPr>
    <w:rPr>
      <w:rFonts w:ascii="黑体" w:hAnsi="黑体" w:eastAsia="黑体" w:cs="Times New Roman"/>
      <w:sz w:val="21"/>
      <w:szCs w:val="21"/>
      <w:lang w:val="en-US" w:eastAsia="zh-CN" w:bidi="ar-SA"/>
    </w:rPr>
  </w:style>
  <w:style w:type="character" w:customStyle="1" w:styleId="19">
    <w:name w:val="一级条标题 Char"/>
    <w:link w:val="18"/>
    <w:uiPriority w:val="0"/>
    <w:rPr>
      <w:rFonts w:ascii="黑体" w:hAnsi="黑体" w:eastAsia="黑体" w:cs="Times New Roman"/>
      <w:sz w:val="21"/>
      <w:szCs w:val="21"/>
      <w:lang w:val="en-US" w:eastAsia="zh-CN" w:bidi="ar-SA"/>
    </w:rPr>
  </w:style>
  <w:style w:type="paragraph" w:customStyle="1" w:styleId="20">
    <w:name w:val="二级条标题"/>
    <w:basedOn w:val="18"/>
    <w:next w:val="17"/>
    <w:link w:val="21"/>
    <w:qFormat/>
    <w:uiPriority w:val="0"/>
    <w:pPr>
      <w:numPr>
        <w:ilvl w:val="2"/>
      </w:numPr>
      <w:tabs>
        <w:tab w:val="left" w:pos="0"/>
      </w:tabs>
      <w:spacing w:before="50" w:after="50"/>
      <w:ind w:left="0" w:firstLine="0"/>
      <w:outlineLvl w:val="3"/>
    </w:pPr>
    <w:rPr>
      <w:rFonts w:ascii="黑体" w:hAnsi="黑体" w:eastAsia="黑体"/>
      <w:sz w:val="21"/>
      <w:szCs w:val="21"/>
      <w:lang w:val="en-US" w:eastAsia="zh-CN" w:bidi="ar-SA"/>
    </w:rPr>
  </w:style>
  <w:style w:type="character" w:customStyle="1" w:styleId="21">
    <w:name w:val="二级条标题 Char"/>
    <w:link w:val="20"/>
    <w:uiPriority w:val="0"/>
    <w:rPr>
      <w:rFonts w:ascii="黑体" w:hAnsi="黑体" w:eastAsia="黑体"/>
      <w:sz w:val="21"/>
      <w:szCs w:val="21"/>
      <w:lang w:val="en-US" w:eastAsia="zh-CN" w:bidi="ar-SA"/>
    </w:rPr>
  </w:style>
  <w:style w:type="paragraph" w:customStyle="1" w:styleId="22">
    <w:name w:val="三级条标题"/>
    <w:basedOn w:val="20"/>
    <w:next w:val="17"/>
    <w:link w:val="23"/>
    <w:qFormat/>
    <w:uiPriority w:val="0"/>
    <w:pPr>
      <w:numPr>
        <w:ilvl w:val="3"/>
      </w:numPr>
      <w:ind w:left="0"/>
      <w:outlineLvl w:val="4"/>
    </w:pPr>
    <w:rPr>
      <w:rFonts w:ascii="黑体" w:hAnsi="黑体" w:eastAsia="黑体"/>
      <w:sz w:val="21"/>
      <w:szCs w:val="21"/>
      <w:lang w:val="en-US" w:eastAsia="zh-CN" w:bidi="ar-SA"/>
    </w:rPr>
  </w:style>
  <w:style w:type="character" w:customStyle="1" w:styleId="23">
    <w:name w:val="三级条标题 Char"/>
    <w:link w:val="22"/>
    <w:uiPriority w:val="0"/>
    <w:rPr>
      <w:rFonts w:ascii="黑体" w:hAnsi="黑体" w:eastAsia="黑体"/>
      <w:sz w:val="21"/>
      <w:szCs w:val="21"/>
      <w:lang w:val="en-US" w:eastAsia="zh-CN" w:bidi="ar-SA"/>
    </w:rPr>
  </w:style>
  <w:style w:type="paragraph" w:customStyle="1" w:styleId="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5">
    <w:name w:val="其他标准标志"/>
    <w:basedOn w:val="26"/>
    <w:qFormat/>
    <w:uiPriority w:val="0"/>
    <w:pPr>
      <w:framePr w:w="6101" w:vAnchor="page" w:hAnchor="page" w:x="4673" w:y="942"/>
    </w:pPr>
    <w:rPr>
      <w:w w:val="130"/>
    </w:rPr>
  </w:style>
  <w:style w:type="paragraph" w:customStyle="1" w:styleId="2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7">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28">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29">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3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1">
    <w:name w:val="封面标准英文名称"/>
    <w:basedOn w:val="30"/>
    <w:qFormat/>
    <w:uiPriority w:val="0"/>
    <w:pPr>
      <w:spacing w:before="370" w:line="400" w:lineRule="exact"/>
    </w:pPr>
    <w:rPr>
      <w:rFonts w:ascii="Times New Roman"/>
      <w:sz w:val="28"/>
      <w:szCs w:val="28"/>
    </w:rPr>
  </w:style>
  <w:style w:type="paragraph" w:customStyle="1" w:styleId="32">
    <w:name w:val="封面一致性程度标识"/>
    <w:basedOn w:val="31"/>
    <w:qFormat/>
    <w:uiPriority w:val="0"/>
    <w:pPr>
      <w:spacing w:before="440"/>
    </w:pPr>
    <w:rPr>
      <w:rFonts w:ascii="宋体" w:eastAsia="宋体"/>
    </w:rPr>
  </w:style>
  <w:style w:type="paragraph" w:customStyle="1" w:styleId="33">
    <w:name w:val="封面标准文稿类别"/>
    <w:basedOn w:val="32"/>
    <w:qFormat/>
    <w:uiPriority w:val="0"/>
    <w:pPr>
      <w:spacing w:after="160" w:line="240" w:lineRule="auto"/>
    </w:pPr>
    <w:rPr>
      <w:sz w:val="24"/>
    </w:rPr>
  </w:style>
  <w:style w:type="paragraph" w:customStyle="1" w:styleId="34">
    <w:name w:val="封面标准文稿编辑信息"/>
    <w:basedOn w:val="33"/>
    <w:qFormat/>
    <w:uiPriority w:val="0"/>
    <w:pPr>
      <w:spacing w:before="180" w:line="180" w:lineRule="exact"/>
    </w:pPr>
    <w:rPr>
      <w:sz w:val="21"/>
    </w:rPr>
  </w:style>
  <w:style w:type="paragraph" w:customStyle="1" w:styleId="35">
    <w:name w:val="其他发布日期"/>
    <w:basedOn w:val="36"/>
    <w:qFormat/>
    <w:uiPriority w:val="0"/>
    <w:pPr>
      <w:framePr w:vAnchor="page" w:hAnchor="text" w:x="1419"/>
    </w:pPr>
  </w:style>
  <w:style w:type="paragraph" w:customStyle="1" w:styleId="36">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37">
    <w:name w:val="其他实施日期"/>
    <w:basedOn w:val="38"/>
    <w:qFormat/>
    <w:uiPriority w:val="0"/>
  </w:style>
  <w:style w:type="paragraph" w:customStyle="1" w:styleId="38">
    <w:name w:val="实施日期"/>
    <w:basedOn w:val="36"/>
    <w:qFormat/>
    <w:uiPriority w:val="0"/>
    <w:pPr>
      <w:framePr w:vAnchor="page" w:hAnchor="text"/>
      <w:jc w:val="right"/>
    </w:pPr>
  </w:style>
  <w:style w:type="paragraph" w:customStyle="1" w:styleId="39">
    <w:name w:val="其他发布部门"/>
    <w:basedOn w:val="40"/>
    <w:qFormat/>
    <w:uiPriority w:val="0"/>
    <w:pPr>
      <w:framePr w:y="15310"/>
      <w:spacing w:line="0" w:lineRule="atLeast"/>
    </w:pPr>
    <w:rPr>
      <w:rFonts w:ascii="黑体" w:eastAsia="黑体"/>
      <w:b w:val="0"/>
    </w:rPr>
  </w:style>
  <w:style w:type="paragraph" w:customStyle="1" w:styleId="40">
    <w:name w:val="发布部门"/>
    <w:next w:val="17"/>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41">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42">
    <w:name w:val="标准书眉_偶数页"/>
    <w:basedOn w:val="41"/>
    <w:next w:val="1"/>
    <w:qFormat/>
    <w:uiPriority w:val="0"/>
    <w:pPr>
      <w:jc w:val="left"/>
    </w:pPr>
  </w:style>
  <w:style w:type="paragraph" w:customStyle="1" w:styleId="43">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44">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45">
    <w:name w:val="参考文献"/>
    <w:basedOn w:val="1"/>
    <w:next w:val="1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46">
    <w:name w:val="终结线"/>
    <w:basedOn w:val="1"/>
    <w:qFormat/>
    <w:uiPriority w:val="0"/>
    <w:pPr>
      <w:framePr w:hSpace="181" w:vSpace="181" w:wrap="around" w:vAnchor="text" w:hAnchor="margin" w:xAlign="center" w:y="285"/>
    </w:pPr>
  </w:style>
  <w:style w:type="paragraph" w:customStyle="1" w:styleId="47">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8">
    <w:name w:val="一级附录"/>
    <w:basedOn w:val="1"/>
    <w:link w:val="49"/>
    <w:qFormat/>
    <w:uiPriority w:val="0"/>
    <w:pPr>
      <w:numPr>
        <w:ilvl w:val="0"/>
        <w:numId w:val="3"/>
      </w:numPr>
      <w:ind w:left="432" w:hanging="432"/>
      <w:jc w:val="center"/>
    </w:pPr>
    <w:rPr>
      <w:rFonts w:ascii="Calibri" w:hAnsi="Calibri" w:eastAsia="黑体"/>
      <w:color w:val="000000"/>
    </w:rPr>
  </w:style>
  <w:style w:type="character" w:customStyle="1" w:styleId="49">
    <w:name w:val="一级附录 Char"/>
    <w:link w:val="48"/>
    <w:uiPriority w:val="0"/>
    <w:rPr>
      <w:rFonts w:ascii="Calibri" w:hAnsi="Calibri" w:eastAsia="黑体"/>
      <w:color w:val="000000"/>
    </w:rPr>
  </w:style>
  <w:style w:type="paragraph" w:customStyle="1" w:styleId="50">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1">
    <w:name w:val="二级附录"/>
    <w:basedOn w:val="6"/>
    <w:uiPriority w:val="0"/>
    <w:pPr>
      <w:numPr>
        <w:ilvl w:val="1"/>
        <w:numId w:val="4"/>
      </w:numPr>
      <w:ind w:left="575" w:hanging="575"/>
    </w:pPr>
    <w:rPr>
      <w:rFonts w:hint="default"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2537</Words>
  <Characters>2927</Characters>
  <Lines>0</Lines>
  <Paragraphs>0</Paragraphs>
  <TotalTime>7</TotalTime>
  <ScaleCrop>false</ScaleCrop>
  <LinksUpToDate>false</LinksUpToDate>
  <CharactersWithSpaces>3025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2022-11-01T00:39:00Z</dcterms:created>
  <dc:creator>TOSHIBA</dc:creator>
  <cp:lastModifiedBy>王美琦</cp:lastModifiedBy>
  <dcterms:modified xsi:type="dcterms:W3CDTF">2025-03-30T09:25:47Z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B08F6EEF784D439996447BE9DD42DD7F_13</vt:lpwstr>
  </property>
  <property fmtid="{D5CDD505-2E9C-101B-9397-08002B2CF9AE}" pid="4" name="KSOTemplateDocerSaveRecord">
    <vt:lpwstr>eyJoZGlkIjoiMjZlNTNjMWZiNmQ3Yzg0NDkzMjVhNTM5OTZjMWJmYTgiLCJ1c2VySWQiOiIzNDA5NzkzNTEifQ==</vt:lpwstr>
  </property>
</Properties>
</file>